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outlineLvl w:val="9"/>
        <w:rPr>
          <w:rFonts w:hint="eastAsia" w:ascii="方正小标宋简体" w:hAnsi="方正小标宋简体" w:eastAsia="方正小标宋简体" w:cs="方正小标宋简体"/>
          <w:b w:val="0"/>
          <w:bCs/>
          <w:i w:val="0"/>
          <w:caps w:val="0"/>
          <w:color w:val="333333"/>
          <w:spacing w:val="0"/>
          <w:sz w:val="44"/>
          <w:szCs w:val="44"/>
          <w:shd w:val="clear" w:fill="FFFFFF"/>
          <w:lang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outlineLvl w:val="9"/>
        <w:rPr>
          <w:rFonts w:hint="eastAsia" w:ascii="方正小标宋简体" w:hAnsi="方正小标宋简体" w:eastAsia="方正小标宋简体" w:cs="方正小标宋简体"/>
          <w:b w:val="0"/>
          <w:bCs/>
          <w:i w:val="0"/>
          <w:caps w:val="0"/>
          <w:color w:val="333333"/>
          <w:spacing w:val="-17"/>
          <w:sz w:val="44"/>
          <w:szCs w:val="44"/>
          <w:shd w:val="clear" w:fill="FFFFFF"/>
          <w:lang w:eastAsia="zh-CN"/>
        </w:rPr>
      </w:pPr>
      <w:r>
        <w:rPr>
          <w:rFonts w:hint="eastAsia" w:ascii="方正小标宋简体" w:hAnsi="方正小标宋简体" w:eastAsia="方正小标宋简体" w:cs="方正小标宋简体"/>
          <w:b w:val="0"/>
          <w:bCs/>
          <w:i w:val="0"/>
          <w:caps w:val="0"/>
          <w:color w:val="333333"/>
          <w:spacing w:val="-17"/>
          <w:sz w:val="44"/>
          <w:szCs w:val="44"/>
          <w:shd w:val="clear" w:fill="FFFFFF"/>
          <w:lang w:eastAsia="zh-CN"/>
        </w:rPr>
        <w:t>淄博市科学技术局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outlineLvl w:val="9"/>
        <w:rPr>
          <w:rFonts w:hint="eastAsia" w:ascii="方正小标宋简体" w:hAnsi="方正小标宋简体" w:eastAsia="方正小标宋简体" w:cs="方正小标宋简体"/>
          <w:b w:val="0"/>
          <w:bCs/>
          <w:i w:val="0"/>
          <w:caps w:val="0"/>
          <w:color w:val="333333"/>
          <w:spacing w:val="0"/>
          <w:sz w:val="44"/>
          <w:szCs w:val="44"/>
          <w:shd w:val="clear" w:fill="FFFFFF"/>
          <w:lang w:eastAsia="zh-CN"/>
        </w:rPr>
      </w:pPr>
      <w:r>
        <w:rPr>
          <w:rFonts w:hint="default" w:ascii="Times New Roman" w:hAnsi="Times New Roman" w:eastAsia="方正小标宋简体" w:cs="Times New Roman"/>
          <w:b w:val="0"/>
          <w:bCs/>
          <w:i w:val="0"/>
          <w:caps w:val="0"/>
          <w:color w:val="333333"/>
          <w:spacing w:val="-17"/>
          <w:sz w:val="44"/>
          <w:szCs w:val="44"/>
          <w:shd w:val="clear" w:fill="FFFFFF"/>
          <w:lang w:val="en-US" w:eastAsia="zh-CN"/>
        </w:rPr>
        <w:t>2022</w:t>
      </w:r>
      <w:r>
        <w:rPr>
          <w:rFonts w:hint="eastAsia" w:ascii="方正小标宋简体" w:hAnsi="方正小标宋简体" w:eastAsia="方正小标宋简体" w:cs="方正小标宋简体"/>
          <w:b w:val="0"/>
          <w:bCs/>
          <w:i w:val="0"/>
          <w:caps w:val="0"/>
          <w:color w:val="333333"/>
          <w:spacing w:val="-17"/>
          <w:sz w:val="44"/>
          <w:szCs w:val="44"/>
          <w:shd w:val="clear" w:fill="FFFFFF"/>
          <w:lang w:val="en-US" w:eastAsia="zh-CN"/>
        </w:rPr>
        <w:t>年</w:t>
      </w:r>
      <w:r>
        <w:rPr>
          <w:rFonts w:hint="eastAsia" w:ascii="方正小标宋简体" w:hAnsi="方正小标宋简体" w:eastAsia="方正小标宋简体" w:cs="方正小标宋简体"/>
          <w:b w:val="0"/>
          <w:bCs/>
          <w:i w:val="0"/>
          <w:caps w:val="0"/>
          <w:color w:val="333333"/>
          <w:spacing w:val="-17"/>
          <w:sz w:val="44"/>
          <w:szCs w:val="44"/>
          <w:shd w:val="clear" w:fill="FFFFFF"/>
        </w:rPr>
        <w:t>政府信息公开工作</w:t>
      </w:r>
      <w:r>
        <w:rPr>
          <w:rFonts w:hint="eastAsia" w:ascii="方正小标宋简体" w:hAnsi="方正小标宋简体" w:eastAsia="方正小标宋简体" w:cs="方正小标宋简体"/>
          <w:b w:val="0"/>
          <w:bCs/>
          <w:i w:val="0"/>
          <w:caps w:val="0"/>
          <w:color w:val="333333"/>
          <w:spacing w:val="0"/>
          <w:sz w:val="44"/>
          <w:szCs w:val="44"/>
          <w:shd w:val="clear" w:fill="FFFFFF"/>
        </w:rPr>
        <w:t>年度报告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Times New Roman" w:hAnsi="Times New Roman" w:eastAsia="宋体" w:cs="宋体"/>
          <w:i w:val="0"/>
          <w:caps w:val="0"/>
          <w:color w:val="000000" w:themeColor="text1"/>
          <w:spacing w:val="0"/>
          <w:sz w:val="24"/>
          <w:szCs w:val="24"/>
          <w14:textFill>
            <w14:solidFill>
              <w14:schemeClr w14:val="tx1"/>
            </w14:solidFill>
          </w14:textFill>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80" w:lineRule="exact"/>
        <w:ind w:right="0" w:firstLine="640" w:firstLineChars="200"/>
        <w:jc w:val="left"/>
        <w:textAlignment w:val="auto"/>
        <w:rPr>
          <w:rFonts w:hint="default"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pPr>
      <w:r>
        <w:rPr>
          <w:rFonts w:hint="eastAsia"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t>本年度报告根据《中华人民共和国政府信息公开条例》和《国务院办公厅政府信息与政务公开办公室关于印发〈中华人民共和国政府信息公开工作年度报告格式〉的通知》（国办公开办函〔</w:t>
      </w:r>
      <w:r>
        <w:rPr>
          <w:rFonts w:hint="eastAsia" w:ascii="Times New Roman" w:hAnsi="Times New Roman" w:eastAsia="仿宋_GB2312" w:cs="Times New Roman"/>
          <w:i w:val="0"/>
          <w:caps w:val="0"/>
          <w:color w:val="000000" w:themeColor="text1"/>
          <w:spacing w:val="0"/>
          <w:sz w:val="32"/>
          <w:szCs w:val="32"/>
          <w:lang w:val="en-US" w:eastAsia="zh-CN"/>
          <w14:textFill>
            <w14:solidFill>
              <w14:schemeClr w14:val="tx1"/>
            </w14:solidFill>
          </w14:textFill>
        </w:rPr>
        <w:t>2021</w:t>
      </w:r>
      <w:r>
        <w:rPr>
          <w:rFonts w:hint="eastAsia"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t>〕</w:t>
      </w:r>
      <w:r>
        <w:rPr>
          <w:rFonts w:hint="eastAsia" w:ascii="Times New Roman" w:hAnsi="Times New Roman" w:eastAsia="仿宋_GB2312" w:cs="Times New Roman"/>
          <w:i w:val="0"/>
          <w:caps w:val="0"/>
          <w:color w:val="000000" w:themeColor="text1"/>
          <w:spacing w:val="0"/>
          <w:sz w:val="32"/>
          <w:szCs w:val="32"/>
          <w:lang w:val="en-US" w:eastAsia="zh-CN"/>
          <w14:textFill>
            <w14:solidFill>
              <w14:schemeClr w14:val="tx1"/>
            </w14:solidFill>
          </w14:textFill>
        </w:rPr>
        <w:t>30号</w:t>
      </w:r>
      <w:r>
        <w:rPr>
          <w:rFonts w:hint="eastAsia"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t>）相关要求编制。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80" w:lineRule="exact"/>
        <w:ind w:right="0" w:firstLine="640" w:firstLineChars="200"/>
        <w:jc w:val="left"/>
        <w:textAlignment w:val="auto"/>
        <w:rPr>
          <w:rFonts w:hint="default"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pPr>
      <w:r>
        <w:rPr>
          <w:rFonts w:hint="default"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t>本年度报告中所列数据的统计期限自2022年1月1日起，至2022年12月31日止。如对报告内容有疑问，请与淄博市科学技术局联系（地址：</w:t>
      </w:r>
      <w:r>
        <w:rPr>
          <w:rFonts w:hint="default" w:ascii="Times New Roman" w:hAnsi="Times New Roman" w:eastAsia="仿宋_GB2312" w:cs="Times New Roman"/>
          <w:i w:val="0"/>
          <w:caps w:val="0"/>
          <w:color w:val="000000" w:themeColor="text1"/>
          <w:spacing w:val="0"/>
          <w:sz w:val="32"/>
          <w:szCs w:val="32"/>
          <w:lang w:val="en-US" w:eastAsia="zh-CN"/>
          <w14:textFill>
            <w14:solidFill>
              <w14:schemeClr w14:val="tx1"/>
            </w14:solidFill>
          </w14:textFill>
        </w:rPr>
        <w:t>淄博市张店区人民西路8号</w:t>
      </w:r>
      <w:r>
        <w:rPr>
          <w:rFonts w:hint="default"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t>；邮编：</w:t>
      </w:r>
      <w:r>
        <w:rPr>
          <w:rFonts w:hint="default" w:ascii="Times New Roman" w:hAnsi="Times New Roman" w:eastAsia="仿宋_GB2312" w:cs="Times New Roman"/>
          <w:i w:val="0"/>
          <w:caps w:val="0"/>
          <w:color w:val="000000" w:themeColor="text1"/>
          <w:spacing w:val="0"/>
          <w:sz w:val="32"/>
          <w:szCs w:val="32"/>
          <w:lang w:val="en-US" w:eastAsia="zh-CN"/>
          <w14:textFill>
            <w14:solidFill>
              <w14:schemeClr w14:val="tx1"/>
            </w14:solidFill>
          </w14:textFill>
        </w:rPr>
        <w:t>255003</w:t>
      </w:r>
      <w:r>
        <w:rPr>
          <w:rFonts w:hint="default"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t>；电话：</w:t>
      </w:r>
      <w:r>
        <w:rPr>
          <w:rFonts w:hint="default" w:ascii="Times New Roman" w:hAnsi="Times New Roman" w:eastAsia="仿宋_GB2312" w:cs="Times New Roman"/>
          <w:i w:val="0"/>
          <w:caps w:val="0"/>
          <w:color w:val="000000" w:themeColor="text1"/>
          <w:spacing w:val="0"/>
          <w:sz w:val="32"/>
          <w:szCs w:val="32"/>
          <w:lang w:val="en-US" w:eastAsia="zh-CN"/>
          <w14:textFill>
            <w14:solidFill>
              <w14:schemeClr w14:val="tx1"/>
            </w14:solidFill>
          </w14:textFill>
        </w:rPr>
        <w:t>0533-3162562</w:t>
      </w:r>
      <w:r>
        <w:rPr>
          <w:rFonts w:hint="default"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t>；邮箱：</w:t>
      </w:r>
      <w:r>
        <w:rPr>
          <w:rFonts w:hint="default" w:ascii="Times New Roman" w:hAnsi="Times New Roman" w:eastAsia="仿宋_GB2312" w:cs="Times New Roman"/>
          <w:i w:val="0"/>
          <w:caps w:val="0"/>
          <w:color w:val="000000" w:themeColor="text1"/>
          <w:spacing w:val="0"/>
          <w:sz w:val="32"/>
          <w:szCs w:val="32"/>
          <w:lang w:val="en-US" w:eastAsia="zh-CN"/>
          <w14:textFill>
            <w14:solidFill>
              <w14:schemeClr w14:val="tx1"/>
            </w14:solidFill>
          </w14:textFill>
        </w:rPr>
        <w:t>zbkjjbgs@zb.shandong.cn</w:t>
      </w:r>
      <w:r>
        <w:rPr>
          <w:rFonts w:hint="default"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Times New Roman" w:hAnsi="Times New Roman" w:eastAsia="黑体" w:cs="黑体"/>
          <w:b w:val="0"/>
          <w:bCs/>
          <w:i w:val="0"/>
          <w:caps w:val="0"/>
          <w:color w:val="000000" w:themeColor="text1"/>
          <w:spacing w:val="0"/>
          <w:sz w:val="32"/>
          <w:szCs w:val="32"/>
          <w14:textFill>
            <w14:solidFill>
              <w14:schemeClr w14:val="tx1"/>
            </w14:solidFill>
          </w14:textFill>
        </w:rPr>
      </w:pPr>
      <w:r>
        <w:rPr>
          <w:rFonts w:hint="eastAsia" w:ascii="Times New Roman" w:hAnsi="Times New Roman" w:eastAsia="黑体" w:cs="黑体"/>
          <w:b w:val="0"/>
          <w:bCs/>
          <w:i w:val="0"/>
          <w:caps w:val="0"/>
          <w:color w:val="000000" w:themeColor="text1"/>
          <w:spacing w:val="0"/>
          <w:sz w:val="32"/>
          <w:szCs w:val="32"/>
          <w:shd w:val="clear" w:fill="FFFFFF"/>
          <w14:textFill>
            <w14:solidFill>
              <w14:schemeClr w14:val="tx1"/>
            </w14:solidFill>
          </w14:textFill>
        </w:rPr>
        <w:t>一、总体情况</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仿宋_GB2312"/>
          <w:b/>
          <w:bCs/>
          <w:color w:val="FF0000"/>
          <w:sz w:val="32"/>
          <w:szCs w:val="32"/>
          <w:highlight w:val="none"/>
          <w:lang w:val="en-US" w:eastAsia="zh-CN"/>
        </w:rPr>
      </w:pP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2022年，市科技局严格按照要求，积极做好政府信息公开工作，制定市科技局《2022年政务公开工作方案》和《政务公开工作任务台账》，明确具体工作任务、工作措施、时限要求、责任领导、责任科室等内容，进一步提升了政务公开实效，有效保障了群众的知情权，自觉接受群众监督，充分发挥了以公开促落实、促规范、促服务的作用。</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（一）做好主动公开工作。</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color w:val="000000" w:themeColor="text1"/>
          <w:sz w:val="32"/>
          <w:szCs w:val="32"/>
          <w:highlight w:val="none"/>
          <w14:textFill>
            <w14:solidFill>
              <w14:schemeClr w14:val="tx1"/>
            </w14:solidFill>
          </w14:textFill>
        </w:rPr>
      </w:pPr>
      <w:r>
        <w:rPr>
          <w:rFonts w:hint="eastAsia" w:ascii="Times New Roman" w:hAnsi="Times New Roman" w:eastAsia="仿宋_GB2312" w:cs="仿宋_GB2312"/>
          <w:color w:val="000000" w:themeColor="text1"/>
          <w:sz w:val="32"/>
          <w:szCs w:val="32"/>
          <w:highlight w:val="none"/>
          <w14:textFill>
            <w14:solidFill>
              <w14:schemeClr w14:val="tx1"/>
            </w14:solidFill>
          </w14:textFill>
        </w:rPr>
        <w:t>202</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2</w:t>
      </w:r>
      <w:r>
        <w:rPr>
          <w:rFonts w:hint="eastAsia" w:ascii="Times New Roman" w:hAnsi="Times New Roman" w:eastAsia="仿宋_GB2312" w:cs="仿宋_GB2312"/>
          <w:color w:val="000000" w:themeColor="text1"/>
          <w:sz w:val="32"/>
          <w:szCs w:val="32"/>
          <w:highlight w:val="none"/>
          <w14:textFill>
            <w14:solidFill>
              <w14:schemeClr w14:val="tx1"/>
            </w14:solidFill>
          </w14:textFill>
        </w:rPr>
        <w:t>年，市科技局</w:t>
      </w:r>
      <w:r>
        <w:rPr>
          <w:rFonts w:hint="eastAsia" w:ascii="Times New Roman" w:hAnsi="Times New Roman" w:eastAsia="仿宋_GB2312" w:cs="仿宋_GB2312"/>
          <w:color w:val="000000" w:themeColor="text1"/>
          <w:sz w:val="32"/>
          <w:szCs w:val="32"/>
          <w14:textFill>
            <w14:solidFill>
              <w14:schemeClr w14:val="tx1"/>
            </w14:solidFill>
          </w14:textFill>
        </w:rPr>
        <w:t>通过政府部门网站主动发布概况类、政务动态类、政策文件类等各类政府信息3</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97</w:t>
      </w:r>
      <w:r>
        <w:rPr>
          <w:rFonts w:hint="eastAsia" w:ascii="Times New Roman" w:hAnsi="Times New Roman" w:eastAsia="仿宋_GB2312" w:cs="仿宋_GB2312"/>
          <w:color w:val="000000" w:themeColor="text1"/>
          <w:sz w:val="32"/>
          <w:szCs w:val="32"/>
          <w14:textFill>
            <w14:solidFill>
              <w14:schemeClr w14:val="tx1"/>
            </w14:solidFill>
          </w14:textFill>
        </w:rPr>
        <w:t>条，其中概况类信息更新</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3</w:t>
      </w:r>
      <w:r>
        <w:rPr>
          <w:rFonts w:hint="eastAsia" w:ascii="Times New Roman" w:hAnsi="Times New Roman" w:eastAsia="仿宋_GB2312" w:cs="仿宋_GB2312"/>
          <w:color w:val="000000" w:themeColor="text1"/>
          <w:sz w:val="32"/>
          <w:szCs w:val="32"/>
          <w14:textFill>
            <w14:solidFill>
              <w14:schemeClr w14:val="tx1"/>
            </w14:solidFill>
          </w14:textFill>
        </w:rPr>
        <w:t>条、政务动态信息更新</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304</w:t>
      </w:r>
      <w:r>
        <w:rPr>
          <w:rFonts w:hint="eastAsia" w:ascii="Times New Roman" w:hAnsi="Times New Roman" w:eastAsia="仿宋_GB2312" w:cs="仿宋_GB2312"/>
          <w:color w:val="000000" w:themeColor="text1"/>
          <w:sz w:val="32"/>
          <w:szCs w:val="32"/>
          <w14:textFill>
            <w14:solidFill>
              <w14:schemeClr w14:val="tx1"/>
            </w14:solidFill>
          </w14:textFill>
        </w:rPr>
        <w:t>条、信息公开目录信息更新</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90</w:t>
      </w:r>
      <w:r>
        <w:rPr>
          <w:rFonts w:hint="eastAsia" w:ascii="Times New Roman" w:hAnsi="Times New Roman" w:eastAsia="仿宋_GB2312" w:cs="仿宋_GB2312"/>
          <w:color w:val="000000" w:themeColor="text1"/>
          <w:sz w:val="32"/>
          <w:szCs w:val="32"/>
          <w14:textFill>
            <w14:solidFill>
              <w14:schemeClr w14:val="tx1"/>
            </w14:solidFill>
          </w14:textFill>
        </w:rPr>
        <w:t>条；科技淄博微信公众号发布信息</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248</w:t>
      </w:r>
      <w:r>
        <w:rPr>
          <w:rFonts w:hint="eastAsia" w:ascii="Times New Roman" w:hAnsi="Times New Roman" w:eastAsia="仿宋_GB2312" w:cs="仿宋_GB2312"/>
          <w:color w:val="000000" w:themeColor="text1"/>
          <w:sz w:val="32"/>
          <w:szCs w:val="32"/>
          <w14:textFill>
            <w14:solidFill>
              <w14:schemeClr w14:val="tx1"/>
            </w14:solidFill>
          </w14:textFill>
        </w:rPr>
        <w:t>条，关注量达2</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1722</w:t>
      </w:r>
      <w:r>
        <w:rPr>
          <w:rFonts w:hint="eastAsia" w:ascii="Times New Roman" w:hAnsi="Times New Roman" w:eastAsia="仿宋_GB2312" w:cs="仿宋_GB2312"/>
          <w:color w:val="000000" w:themeColor="text1"/>
          <w:sz w:val="32"/>
          <w:szCs w:val="32"/>
          <w14:textFill>
            <w14:solidFill>
              <w14:schemeClr w14:val="tx1"/>
            </w14:solidFill>
          </w14:textFill>
        </w:rPr>
        <w:t>人；科技淄博政务微博发布信息</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102</w:t>
      </w:r>
      <w:r>
        <w:rPr>
          <w:rFonts w:hint="eastAsia" w:ascii="Times New Roman" w:hAnsi="Times New Roman" w:eastAsia="仿宋_GB2312" w:cs="仿宋_GB2312"/>
          <w:color w:val="000000" w:themeColor="text1"/>
          <w:sz w:val="32"/>
          <w:szCs w:val="32"/>
          <w14:textFill>
            <w14:solidFill>
              <w14:schemeClr w14:val="tx1"/>
            </w14:solidFill>
          </w14:textFill>
        </w:rPr>
        <w:t>条，关注量达54</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31</w:t>
      </w:r>
      <w:r>
        <w:rPr>
          <w:rFonts w:hint="eastAsia" w:ascii="Times New Roman" w:hAnsi="Times New Roman" w:eastAsia="仿宋_GB2312" w:cs="仿宋_GB2312"/>
          <w:color w:val="000000" w:themeColor="text1"/>
          <w:sz w:val="32"/>
          <w:szCs w:val="32"/>
          <w14:textFill>
            <w14:solidFill>
              <w14:schemeClr w14:val="tx1"/>
            </w14:solidFill>
          </w14:textFill>
        </w:rPr>
        <w:t>人，</w:t>
      </w:r>
      <w:r>
        <w:rPr>
          <w:rFonts w:hint="eastAsia" w:ascii="Times New Roman" w:hAnsi="Times New Roman" w:eastAsia="仿宋_GB2312" w:cs="仿宋_GB2312"/>
          <w:color w:val="000000" w:themeColor="text1"/>
          <w:sz w:val="32"/>
          <w:szCs w:val="32"/>
          <w:highlight w:val="none"/>
          <w14:textFill>
            <w14:solidFill>
              <w14:schemeClr w14:val="tx1"/>
            </w14:solidFill>
          </w14:textFill>
        </w:rPr>
        <w:t>充分</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发挥了</w:t>
      </w:r>
      <w:r>
        <w:rPr>
          <w:rFonts w:hint="eastAsia" w:ascii="Times New Roman" w:hAnsi="Times New Roman" w:eastAsia="仿宋_GB2312" w:cs="仿宋_GB2312"/>
          <w:color w:val="000000" w:themeColor="text1"/>
          <w:sz w:val="32"/>
          <w:szCs w:val="32"/>
          <w:highlight w:val="none"/>
          <w14:textFill>
            <w14:solidFill>
              <w14:schemeClr w14:val="tx1"/>
            </w14:solidFill>
          </w14:textFill>
        </w:rPr>
        <w:t>部门网站</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和政务新媒体的主动公开作用，切实提升</w:t>
      </w:r>
      <w:r>
        <w:rPr>
          <w:rFonts w:hint="eastAsia" w:ascii="Times New Roman" w:hAnsi="Times New Roman" w:eastAsia="仿宋_GB2312" w:cs="仿宋_GB2312"/>
          <w:color w:val="000000" w:themeColor="text1"/>
          <w:sz w:val="32"/>
          <w:szCs w:val="32"/>
          <w:highlight w:val="none"/>
          <w14:textFill>
            <w14:solidFill>
              <w14:schemeClr w14:val="tx1"/>
            </w14:solidFill>
          </w14:textFill>
        </w:rPr>
        <w:t>信息公开范围，</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增强</w:t>
      </w:r>
      <w:r>
        <w:rPr>
          <w:rFonts w:hint="eastAsia" w:ascii="Times New Roman" w:hAnsi="Times New Roman" w:eastAsia="仿宋_GB2312" w:cs="仿宋_GB2312"/>
          <w:color w:val="000000" w:themeColor="text1"/>
          <w:sz w:val="32"/>
          <w:szCs w:val="32"/>
          <w:highlight w:val="none"/>
          <w14:textFill>
            <w14:solidFill>
              <w14:schemeClr w14:val="tx1"/>
            </w14:solidFill>
          </w14:textFill>
        </w:rPr>
        <w:t>政务公开实效。</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（二）做好依申请公开工作。</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t>202</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2</w:t>
      </w:r>
      <w:r>
        <w:rPr>
          <w:rFonts w:hint="eastAsia" w:ascii="Times New Roman" w:hAnsi="Times New Roman" w:eastAsia="仿宋_GB2312" w:cs="仿宋_GB2312"/>
          <w:color w:val="000000" w:themeColor="text1"/>
          <w:sz w:val="32"/>
          <w:szCs w:val="32"/>
          <w14:textFill>
            <w14:solidFill>
              <w14:schemeClr w14:val="tx1"/>
            </w14:solidFill>
          </w14:textFill>
        </w:rPr>
        <w:t>年，市科技</w:t>
      </w:r>
      <w:r>
        <w:rPr>
          <w:rFonts w:hint="eastAsia" w:ascii="Times New Roman" w:hAnsi="Times New Roman" w:eastAsia="仿宋_GB2312" w:cs="仿宋_GB2312"/>
          <w:color w:val="000000" w:themeColor="text1"/>
          <w:sz w:val="32"/>
          <w:szCs w:val="32"/>
          <w:lang w:eastAsia="zh-CN"/>
          <w14:textFill>
            <w14:solidFill>
              <w14:schemeClr w14:val="tx1"/>
            </w14:solidFill>
          </w14:textFill>
        </w:rPr>
        <w:t>局</w:t>
      </w:r>
      <w:r>
        <w:rPr>
          <w:rFonts w:hint="eastAsia" w:ascii="Times New Roman" w:hAnsi="Times New Roman" w:eastAsia="仿宋_GB2312" w:cs="仿宋_GB2312"/>
          <w:color w:val="000000" w:themeColor="text1"/>
          <w:sz w:val="32"/>
          <w:szCs w:val="32"/>
          <w14:textFill>
            <w14:solidFill>
              <w14:schemeClr w14:val="tx1"/>
            </w14:solidFill>
          </w14:textFill>
        </w:rPr>
        <w:t>共收到政府信息公开申请3件（其中，互联网渠道收件</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2</w:t>
      </w:r>
      <w:r>
        <w:rPr>
          <w:rFonts w:hint="eastAsia" w:ascii="Times New Roman" w:hAnsi="Times New Roman" w:eastAsia="仿宋_GB2312" w:cs="仿宋_GB2312"/>
          <w:color w:val="000000" w:themeColor="text1"/>
          <w:sz w:val="32"/>
          <w:szCs w:val="32"/>
          <w14:textFill>
            <w14:solidFill>
              <w14:schemeClr w14:val="tx1"/>
            </w14:solidFill>
          </w14:textFill>
        </w:rPr>
        <w:t>件，挂号信渠道收件</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1</w:t>
      </w:r>
      <w:r>
        <w:rPr>
          <w:rFonts w:hint="eastAsia" w:ascii="Times New Roman" w:hAnsi="Times New Roman" w:eastAsia="仿宋_GB2312" w:cs="仿宋_GB2312"/>
          <w:color w:val="000000" w:themeColor="text1"/>
          <w:sz w:val="32"/>
          <w:szCs w:val="32"/>
          <w14:textFill>
            <w14:solidFill>
              <w14:schemeClr w14:val="tx1"/>
            </w14:solidFill>
          </w14:textFill>
        </w:rPr>
        <w:t>件），</w:t>
      </w:r>
      <w:r>
        <w:rPr>
          <w:rFonts w:hint="eastAsia" w:ascii="Times New Roman" w:hAnsi="Times New Roman" w:eastAsia="仿宋_GB2312" w:cs="仿宋_GB2312"/>
          <w:color w:val="000000" w:themeColor="text1"/>
          <w:sz w:val="32"/>
          <w:szCs w:val="32"/>
          <w:lang w:eastAsia="zh-CN"/>
          <w14:textFill>
            <w14:solidFill>
              <w14:schemeClr w14:val="tx1"/>
            </w14:solidFill>
          </w14:textFill>
        </w:rPr>
        <w:t>与</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2021</w:t>
      </w:r>
      <w:r>
        <w:rPr>
          <w:rFonts w:hint="eastAsia" w:ascii="Times New Roman" w:hAnsi="Times New Roman" w:eastAsia="仿宋_GB2312" w:cs="仿宋_GB2312"/>
          <w:color w:val="000000" w:themeColor="text1"/>
          <w:sz w:val="32"/>
          <w:szCs w:val="32"/>
          <w:lang w:eastAsia="zh-CN"/>
          <w14:textFill>
            <w14:solidFill>
              <w14:schemeClr w14:val="tx1"/>
            </w14:solidFill>
          </w14:textFill>
        </w:rPr>
        <w:t>年相比数量没有变化，</w:t>
      </w:r>
      <w:r>
        <w:rPr>
          <w:rFonts w:hint="eastAsia" w:ascii="Times New Roman" w:hAnsi="Times New Roman" w:eastAsia="仿宋_GB2312" w:cs="仿宋_GB2312"/>
          <w:color w:val="000000" w:themeColor="text1"/>
          <w:sz w:val="32"/>
          <w:szCs w:val="32"/>
          <w14:textFill>
            <w14:solidFill>
              <w14:schemeClr w14:val="tx1"/>
            </w14:solidFill>
          </w14:textFill>
        </w:rPr>
        <w:t>均已经按时办结。</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（三）做好政府信息管理。</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b/>
          <w:bCs/>
          <w:color w:val="FF0000"/>
          <w:sz w:val="32"/>
          <w:szCs w:val="32"/>
          <w:highlight w:val="none"/>
          <w:lang w:eastAsia="zh-CN"/>
        </w:rPr>
      </w:pP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加强</w:t>
      </w:r>
      <w:r>
        <w:rPr>
          <w:rFonts w:hint="eastAsia" w:ascii="Times New Roman" w:hAnsi="Times New Roman" w:eastAsia="仿宋_GB2312" w:cs="仿宋_GB2312"/>
          <w:color w:val="000000" w:themeColor="text1"/>
          <w:sz w:val="32"/>
          <w:szCs w:val="32"/>
          <w:highlight w:val="none"/>
          <w14:textFill>
            <w14:solidFill>
              <w14:schemeClr w14:val="tx1"/>
            </w14:solidFill>
          </w14:textFill>
        </w:rPr>
        <w:t>政府信息</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主动</w:t>
      </w:r>
      <w:r>
        <w:rPr>
          <w:rFonts w:hint="eastAsia" w:ascii="Times New Roman" w:hAnsi="Times New Roman" w:eastAsia="仿宋_GB2312" w:cs="仿宋_GB2312"/>
          <w:color w:val="000000" w:themeColor="text1"/>
          <w:sz w:val="32"/>
          <w:szCs w:val="32"/>
          <w:highlight w:val="none"/>
          <w14:textFill>
            <w14:solidFill>
              <w14:schemeClr w14:val="tx1"/>
            </w14:solidFill>
          </w14:textFill>
        </w:rPr>
        <w:t>公开目录</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建设，制定《淄博市科学技术局政府信息主动公开基本目录</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2022</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版)</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》，明确各级指标维护内容、时限等要求，并及时公开发布。</w:t>
      </w:r>
      <w:r>
        <w:rPr>
          <w:rFonts w:hint="eastAsia" w:ascii="Times New Roman" w:hAnsi="Times New Roman" w:eastAsia="仿宋_GB2312" w:cs="仿宋_GB2312"/>
          <w:color w:val="000000" w:themeColor="text1"/>
          <w:sz w:val="32"/>
          <w:szCs w:val="32"/>
          <w:highlight w:val="none"/>
          <w14:textFill>
            <w14:solidFill>
              <w14:schemeClr w14:val="tx1"/>
            </w14:solidFill>
          </w14:textFill>
        </w:rPr>
        <w:t>加强对政府信息的全生命周期管理，信息发布严格落实“三审三校”制度，</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及时</w:t>
      </w:r>
      <w:r>
        <w:rPr>
          <w:rFonts w:hint="eastAsia" w:ascii="Times New Roman" w:hAnsi="Times New Roman" w:eastAsia="仿宋_GB2312" w:cs="仿宋_GB2312"/>
          <w:color w:val="000000" w:themeColor="text1"/>
          <w:sz w:val="32"/>
          <w:szCs w:val="32"/>
          <w:highlight w:val="none"/>
          <w14:textFill>
            <w14:solidFill>
              <w14:schemeClr w14:val="tx1"/>
            </w14:solidFill>
          </w14:textFill>
        </w:rPr>
        <w:t>做好规范性文件清理，</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做好</w:t>
      </w:r>
      <w:r>
        <w:rPr>
          <w:rFonts w:hint="eastAsia" w:ascii="Times New Roman" w:hAnsi="Times New Roman" w:eastAsia="仿宋_GB2312" w:cs="仿宋_GB2312"/>
          <w:color w:val="000000" w:themeColor="text1"/>
          <w:sz w:val="32"/>
          <w:szCs w:val="32"/>
          <w:highlight w:val="none"/>
          <w14:textFill>
            <w14:solidFill>
              <w14:schemeClr w14:val="tx1"/>
            </w14:solidFill>
          </w14:textFill>
        </w:rPr>
        <w:t>政府网站上公开的失效文件标注</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，编制规范性文件目录并及</w:t>
      </w:r>
      <w:r>
        <w:rPr>
          <w:rFonts w:hint="eastAsia" w:ascii="Times New Roman" w:hAnsi="Times New Roman" w:eastAsia="仿宋_GB2312" w:cs="仿宋_GB2312"/>
          <w:color w:val="000000" w:themeColor="text1"/>
          <w:sz w:val="32"/>
          <w:szCs w:val="32"/>
          <w:highlight w:val="none"/>
          <w14:textFill>
            <w14:solidFill>
              <w14:schemeClr w14:val="tx1"/>
            </w14:solidFill>
          </w14:textFill>
        </w:rPr>
        <w:t>时进行公示。</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color w:val="000000" w:themeColor="text1"/>
          <w:sz w:val="32"/>
          <w:szCs w:val="32"/>
          <w:lang w:eastAsia="zh-CN"/>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（四）做好平台建设。</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color w:val="000000" w:themeColor="text1"/>
          <w:sz w:val="32"/>
          <w:szCs w:val="32"/>
          <w:highlight w:val="yellow"/>
          <w:lang w:eastAsia="zh-CN"/>
          <w14:textFill>
            <w14:solidFill>
              <w14:schemeClr w14:val="tx1"/>
            </w14:solidFill>
          </w14:textFill>
        </w:rPr>
      </w:pP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加强部门网站、微信公众号、政务微博等信息公开平台建设，拓宽公开渠道，扩大政府信息受众。做好部门网站要闻动态、通知公告、政务公开、政务大厅、专题专栏等板块维护，加强日常监测，及时发现解决存在问题，确保网站稳定运行。同时，加强政务新媒体的运用，做好“科技淄博”微信公众号和微博管理维护，多渠道提升政府信息公开工作水平。</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（五）加强监督保障。</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t>及时调整政务公开领导小组，完善组织领导体系，</w:t>
      </w:r>
      <w:r>
        <w:rPr>
          <w:rFonts w:hint="eastAsia" w:ascii="Times New Roman" w:hAnsi="Times New Roman" w:eastAsia="仿宋_GB2312" w:cs="仿宋_GB2312"/>
          <w:color w:val="000000" w:themeColor="text1"/>
          <w:sz w:val="32"/>
          <w:szCs w:val="32"/>
          <w:lang w:eastAsia="zh-CN"/>
          <w14:textFill>
            <w14:solidFill>
              <w14:schemeClr w14:val="tx1"/>
            </w14:solidFill>
          </w14:textFill>
        </w:rPr>
        <w:t>召开局长办公会专题研究市科技局</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2022年政务公开工作方案，明确具体工作任务、工作措施、时限要求、责任领导、责任科室等内容</w:t>
      </w:r>
      <w:r>
        <w:rPr>
          <w:rFonts w:hint="eastAsia" w:ascii="Times New Roman" w:hAnsi="Times New Roman" w:eastAsia="仿宋_GB2312" w:cs="仿宋_GB2312"/>
          <w:color w:val="000000" w:themeColor="text1"/>
          <w:sz w:val="32"/>
          <w:szCs w:val="32"/>
          <w14:textFill>
            <w14:solidFill>
              <w14:schemeClr w14:val="tx1"/>
            </w14:solidFill>
          </w14:textFill>
        </w:rPr>
        <w:t>。将政务公开纳入年度工作考核评价体系，加强对政府信息公开工作的日常指导和监督检查，对政府网站与政务新媒体检查发现的问题立即组织整改落实。</w:t>
      </w:r>
      <w:r>
        <w:rPr>
          <w:rFonts w:hint="eastAsia" w:ascii="Times New Roman" w:hAnsi="Times New Roman" w:eastAsia="仿宋_GB2312" w:cs="仿宋_GB2312"/>
          <w:color w:val="000000" w:themeColor="text1"/>
          <w:sz w:val="32"/>
          <w:szCs w:val="32"/>
          <w:lang w:eastAsia="zh-CN"/>
          <w14:textFill>
            <w14:solidFill>
              <w14:schemeClr w14:val="tx1"/>
            </w14:solidFill>
          </w14:textFill>
        </w:rPr>
        <w:t>召开</w:t>
      </w:r>
      <w:r>
        <w:rPr>
          <w:rFonts w:hint="eastAsia" w:ascii="Times New Roman" w:hAnsi="Times New Roman" w:eastAsia="仿宋_GB2312" w:cs="仿宋_GB2312"/>
          <w:color w:val="000000" w:themeColor="text1"/>
          <w:sz w:val="32"/>
          <w:szCs w:val="32"/>
          <w14:textFill>
            <w14:solidFill>
              <w14:schemeClr w14:val="tx1"/>
            </w14:solidFill>
          </w14:textFill>
        </w:rPr>
        <w:t>政务公开工作培训</w:t>
      </w:r>
      <w:r>
        <w:rPr>
          <w:rFonts w:hint="eastAsia" w:ascii="Times New Roman" w:hAnsi="Times New Roman" w:eastAsia="仿宋_GB2312" w:cs="仿宋_GB2312"/>
          <w:color w:val="000000" w:themeColor="text1"/>
          <w:sz w:val="32"/>
          <w:szCs w:val="32"/>
          <w:lang w:eastAsia="zh-CN"/>
          <w14:textFill>
            <w14:solidFill>
              <w14:schemeClr w14:val="tx1"/>
            </w14:solidFill>
          </w14:textFill>
        </w:rPr>
        <w:t>会</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1</w:t>
      </w:r>
      <w:r>
        <w:rPr>
          <w:rFonts w:hint="eastAsia" w:ascii="Times New Roman" w:hAnsi="Times New Roman" w:eastAsia="仿宋_GB2312" w:cs="仿宋_GB2312"/>
          <w:color w:val="000000" w:themeColor="text1"/>
          <w:sz w:val="32"/>
          <w:szCs w:val="32"/>
          <w14:textFill>
            <w14:solidFill>
              <w14:schemeClr w14:val="tx1"/>
            </w14:solidFill>
          </w14:textFill>
        </w:rPr>
        <w:t>次</w:t>
      </w:r>
      <w:r>
        <w:rPr>
          <w:rFonts w:hint="eastAsia" w:ascii="Times New Roman" w:hAnsi="Times New Roman" w:eastAsia="仿宋_GB2312" w:cs="仿宋_GB2312"/>
          <w:color w:val="000000" w:themeColor="text1"/>
          <w:sz w:val="32"/>
          <w:szCs w:val="32"/>
          <w:lang w:eastAsia="zh-CN"/>
          <w14:textFill>
            <w14:solidFill>
              <w14:schemeClr w14:val="tx1"/>
            </w14:solidFill>
          </w14:textFill>
        </w:rPr>
        <w:t>、</w:t>
      </w:r>
      <w:r>
        <w:rPr>
          <w:rFonts w:hint="eastAsia" w:ascii="Times New Roman" w:hAnsi="Times New Roman" w:eastAsia="仿宋_GB2312" w:cs="仿宋_GB2312"/>
          <w:color w:val="000000" w:themeColor="text1"/>
          <w:sz w:val="32"/>
          <w:szCs w:val="32"/>
          <w14:textFill>
            <w14:solidFill>
              <w14:schemeClr w14:val="tx1"/>
            </w14:solidFill>
          </w14:textFill>
        </w:rPr>
        <w:t>政务公开工作</w:t>
      </w:r>
      <w:r>
        <w:rPr>
          <w:rFonts w:hint="eastAsia" w:ascii="Times New Roman" w:hAnsi="Times New Roman" w:eastAsia="仿宋_GB2312" w:cs="仿宋_GB2312"/>
          <w:color w:val="000000" w:themeColor="text1"/>
          <w:sz w:val="32"/>
          <w:szCs w:val="32"/>
          <w:lang w:eastAsia="zh-CN"/>
          <w14:textFill>
            <w14:solidFill>
              <w14:schemeClr w14:val="tx1"/>
            </w14:solidFill>
          </w14:textFill>
        </w:rPr>
        <w:t>推进会</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1</w:t>
      </w:r>
      <w:r>
        <w:rPr>
          <w:rFonts w:hint="eastAsia" w:ascii="Times New Roman" w:hAnsi="Times New Roman" w:eastAsia="仿宋_GB2312" w:cs="仿宋_GB2312"/>
          <w:color w:val="000000" w:themeColor="text1"/>
          <w:sz w:val="32"/>
          <w:szCs w:val="32"/>
          <w14:textFill>
            <w14:solidFill>
              <w14:schemeClr w14:val="tx1"/>
            </w14:solidFill>
          </w14:textFill>
        </w:rPr>
        <w:t>次，切实增强业务工作能力，提升政务公开科学化、规范化、标准化水平。</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黑体" w:hAnsi="黑体" w:eastAsia="黑体" w:cs="黑体"/>
          <w:b w:val="0"/>
          <w:bCs/>
          <w:i w:val="0"/>
          <w:caps w:val="0"/>
          <w:color w:val="333333"/>
          <w:spacing w:val="0"/>
          <w:sz w:val="32"/>
          <w:szCs w:val="32"/>
          <w:lang w:eastAsia="zh-CN"/>
        </w:rPr>
      </w:pPr>
      <w:r>
        <w:rPr>
          <w:rFonts w:hint="eastAsia" w:ascii="黑体" w:hAnsi="黑体" w:eastAsia="黑体" w:cs="黑体"/>
          <w:b w:val="0"/>
          <w:bCs/>
          <w:i w:val="0"/>
          <w:caps w:val="0"/>
          <w:color w:val="333333"/>
          <w:spacing w:val="0"/>
          <w:sz w:val="32"/>
          <w:szCs w:val="32"/>
          <w:shd w:val="clear" w:fill="FFFFFF"/>
        </w:rPr>
        <w:t>二、主动公开政府信息情况</w:t>
      </w:r>
    </w:p>
    <w:tbl>
      <w:tblPr>
        <w:tblStyle w:val="6"/>
        <w:tblW w:w="8824" w:type="dxa"/>
        <w:tblInd w:w="0" w:type="dxa"/>
        <w:tblLayout w:type="fixed"/>
        <w:tblCellMar>
          <w:top w:w="0" w:type="dxa"/>
          <w:left w:w="108" w:type="dxa"/>
          <w:bottom w:w="0" w:type="dxa"/>
          <w:right w:w="108" w:type="dxa"/>
        </w:tblCellMar>
      </w:tblPr>
      <w:tblGrid>
        <w:gridCol w:w="2206"/>
        <w:gridCol w:w="2206"/>
        <w:gridCol w:w="2206"/>
        <w:gridCol w:w="2206"/>
      </w:tblGrid>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第二十条第（一）项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本年制发件数</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本年废止件数</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现行有效件数</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规章</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auto"/>
                <w:kern w:val="0"/>
                <w:szCs w:val="21"/>
                <w:lang w:eastAsia="zh-CN"/>
              </w:rPr>
            </w:pPr>
            <w:r>
              <w:rPr>
                <w:rFonts w:hint="eastAsia" w:ascii="仿宋_GB2312" w:hAnsi="宋体" w:eastAsia="仿宋_GB2312" w:cs="宋体"/>
                <w:color w:val="auto"/>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Calibri" w:eastAsia="仿宋_GB2312" w:cs="Calibri"/>
                <w:color w:val="auto"/>
                <w:kern w:val="0"/>
                <w:szCs w:val="21"/>
              </w:rPr>
            </w:pPr>
            <w:r>
              <w:rPr>
                <w:rFonts w:hint="eastAsia" w:ascii="仿宋_GB2312" w:hAnsi="宋体" w:eastAsia="仿宋_GB2312" w:cs="宋体"/>
                <w:color w:val="auto"/>
                <w:kern w:val="0"/>
                <w:szCs w:val="21"/>
                <w:lang w:val="en-US" w:eastAsia="zh-CN"/>
              </w:rPr>
              <w:t>0</w:t>
            </w:r>
          </w:p>
        </w:tc>
      </w:tr>
      <w:tr>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行政规范性文件</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auto"/>
                <w:kern w:val="0"/>
                <w:szCs w:val="21"/>
                <w:lang w:eastAsia="zh-CN"/>
              </w:rPr>
            </w:pPr>
            <w:r>
              <w:rPr>
                <w:rFonts w:hint="eastAsia" w:ascii="仿宋_GB2312" w:hAnsi="宋体" w:eastAsia="仿宋_GB2312" w:cs="宋体"/>
                <w:color w:val="auto"/>
                <w:kern w:val="0"/>
                <w:szCs w:val="21"/>
                <w:lang w:val="en-US" w:eastAsia="zh-CN"/>
              </w:rPr>
              <w:t>4</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auto"/>
                <w:kern w:val="0"/>
                <w:szCs w:val="21"/>
                <w:lang w:eastAsia="zh-CN"/>
              </w:rPr>
            </w:pPr>
            <w:r>
              <w:rPr>
                <w:rFonts w:hint="eastAsia" w:ascii="仿宋_GB2312" w:hAnsi="宋体" w:eastAsia="仿宋_GB2312" w:cs="宋体"/>
                <w:color w:val="auto"/>
                <w:kern w:val="0"/>
                <w:szCs w:val="21"/>
                <w:lang w:val="en-US" w:eastAsia="zh-CN"/>
              </w:rPr>
              <w:t>6</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第二十条第（五）项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行政许可</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default" w:ascii="仿宋_GB2312" w:hAnsi="Calibri" w:eastAsia="仿宋_GB2312" w:cs="Calibri"/>
                <w:color w:val="000000"/>
                <w:kern w:val="0"/>
                <w:szCs w:val="21"/>
                <w:lang w:val="en-US" w:eastAsia="zh-CN"/>
              </w:rPr>
            </w:pPr>
            <w:r>
              <w:rPr>
                <w:rFonts w:hint="eastAsia" w:ascii="仿宋_GB2312" w:hAnsi="Calibri" w:eastAsia="仿宋_GB2312" w:cs="Calibri"/>
                <w:color w:val="auto"/>
                <w:kern w:val="0"/>
                <w:szCs w:val="21"/>
                <w:lang w:val="en-US" w:eastAsia="zh-CN"/>
              </w:rPr>
              <w:t>310</w:t>
            </w:r>
          </w:p>
        </w:tc>
      </w:tr>
      <w:tr>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第二十条第（六）项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行政处罚</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仿宋_GB2312" w:hAnsi="Calibri" w:eastAsia="仿宋_GB2312" w:cs="Calibri"/>
                <w:color w:val="auto"/>
                <w:kern w:val="0"/>
                <w:szCs w:val="21"/>
                <w:lang w:eastAsia="zh-CN"/>
              </w:rPr>
            </w:pPr>
            <w:r>
              <w:rPr>
                <w:rFonts w:hint="eastAsia" w:ascii="仿宋_GB2312" w:hAnsi="Calibri" w:eastAsia="仿宋_GB2312" w:cs="Calibri"/>
                <w:color w:val="auto"/>
                <w:kern w:val="0"/>
                <w:szCs w:val="21"/>
                <w:lang w:val="en-US" w:eastAsia="zh-CN"/>
              </w:rPr>
              <w:t>0</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行政强制</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仿宋_GB2312" w:hAnsi="Calibri" w:eastAsia="仿宋_GB2312" w:cs="Calibri"/>
                <w:color w:val="auto"/>
                <w:kern w:val="0"/>
                <w:szCs w:val="21"/>
                <w:lang w:eastAsia="zh-CN"/>
              </w:rPr>
            </w:pPr>
            <w:r>
              <w:rPr>
                <w:rFonts w:hint="eastAsia" w:ascii="仿宋_GB2312" w:hAnsi="Calibri" w:eastAsia="仿宋_GB2312" w:cs="Calibri"/>
                <w:color w:val="auto"/>
                <w:kern w:val="0"/>
                <w:szCs w:val="21"/>
                <w:lang w:val="en-US" w:eastAsia="zh-CN"/>
              </w:rPr>
              <w:t>0</w:t>
            </w:r>
          </w:p>
        </w:tc>
      </w:tr>
      <w:tr>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第二十条第（八）项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本年收费金额（单位：万元）</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行政事业性收费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仿宋_GB2312" w:hAnsi="Calibri" w:eastAsia="仿宋_GB2312" w:cs="Calibri"/>
                <w:color w:val="000000"/>
                <w:kern w:val="0"/>
                <w:szCs w:val="21"/>
                <w:lang w:eastAsia="zh-CN"/>
              </w:rPr>
            </w:pPr>
            <w:r>
              <w:rPr>
                <w:rFonts w:hint="eastAsia" w:ascii="仿宋_GB2312" w:hAnsi="Calibri" w:eastAsia="仿宋_GB2312" w:cs="Calibri"/>
                <w:color w:val="auto"/>
                <w:kern w:val="0"/>
                <w:szCs w:val="21"/>
                <w:lang w:val="en-US" w:eastAsia="zh-CN"/>
              </w:rPr>
              <w:t>0</w:t>
            </w:r>
          </w:p>
        </w:tc>
      </w:tr>
    </w:tbl>
    <w:p>
      <w:pPr>
        <w:rPr>
          <w:rFonts w:hint="eastAsia"/>
          <w:lang w:val="en-US" w:eastAsia="zh-CN"/>
        </w:rPr>
      </w:pPr>
    </w:p>
    <w:p>
      <w:pPr>
        <w:rPr>
          <w:rFonts w:hint="eastAsia" w:ascii="黑体" w:hAnsi="黑体" w:eastAsia="黑体" w:cs="黑体"/>
          <w:b w:val="0"/>
          <w:bCs/>
          <w:i w:val="0"/>
          <w:caps w:val="0"/>
          <w:color w:val="333333"/>
          <w:spacing w:val="0"/>
          <w:kern w:val="0"/>
          <w:sz w:val="32"/>
          <w:szCs w:val="32"/>
          <w:shd w:val="clear" w:fill="FFFFFF"/>
          <w:lang w:val="en-US" w:eastAsia="zh-CN" w:bidi="ar"/>
        </w:rPr>
      </w:pPr>
      <w:bookmarkStart w:id="10" w:name="_GoBack"/>
      <w:bookmarkEnd w:id="10"/>
      <w:r>
        <w:rPr>
          <w:rFonts w:hint="eastAsia" w:ascii="黑体" w:hAnsi="黑体" w:eastAsia="黑体" w:cs="黑体"/>
          <w:b w:val="0"/>
          <w:bCs/>
          <w:i w:val="0"/>
          <w:caps w:val="0"/>
          <w:color w:val="333333"/>
          <w:spacing w:val="0"/>
          <w:kern w:val="0"/>
          <w:sz w:val="32"/>
          <w:szCs w:val="32"/>
          <w:shd w:val="clear" w:fill="FFFFFF"/>
          <w:lang w:val="en-US" w:eastAsia="zh-CN" w:bidi="ar"/>
        </w:rPr>
        <w:t>三、收到和处理政府信息公开申请情况</w:t>
      </w:r>
    </w:p>
    <w:tbl>
      <w:tblPr>
        <w:tblStyle w:val="6"/>
        <w:tblW w:w="954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747"/>
        <w:gridCol w:w="5"/>
        <w:gridCol w:w="535"/>
        <w:gridCol w:w="5"/>
        <w:gridCol w:w="535"/>
        <w:gridCol w:w="720"/>
        <w:gridCol w:w="675"/>
        <w:gridCol w:w="525"/>
        <w:gridCol w:w="1"/>
        <w:gridCol w:w="7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93" w:type="dxa"/>
            <w:gridSpan w:val="3"/>
            <w:vMerge w:val="restart"/>
            <w:shd w:val="clear" w:color="auto" w:fill="auto"/>
            <w:tcMar>
              <w:left w:w="108" w:type="dxa"/>
              <w:right w:w="108" w:type="dxa"/>
            </w:tcMar>
            <w:vAlign w:val="center"/>
          </w:tcPr>
          <w:p>
            <w:pPr>
              <w:widowControl/>
              <w:jc w:val="center"/>
              <w:rPr>
                <w:rFonts w:ascii="楷体_GB2312" w:hAnsi="黑体" w:eastAsia="楷体_GB2312"/>
                <w:kern w:val="0"/>
                <w:szCs w:val="21"/>
              </w:rPr>
            </w:pPr>
            <w:r>
              <w:rPr>
                <w:rFonts w:hint="eastAsia" w:ascii="楷体_GB2312" w:hAnsi="黑体" w:eastAsia="楷体_GB2312"/>
                <w:kern w:val="0"/>
                <w:szCs w:val="21"/>
              </w:rPr>
              <w:t>（本列数据的勾稽关系为：第一项加第二项之和，</w:t>
            </w:r>
          </w:p>
          <w:p>
            <w:pPr>
              <w:widowControl/>
              <w:jc w:val="center"/>
              <w:rPr>
                <w:rFonts w:ascii="仿宋_GB2312" w:hAnsi="Times New Roman" w:eastAsia="仿宋_GB2312"/>
                <w:szCs w:val="21"/>
              </w:rPr>
            </w:pPr>
            <w:r>
              <w:rPr>
                <w:rFonts w:hint="eastAsia" w:ascii="楷体_GB2312" w:hAnsi="黑体" w:eastAsia="楷体_GB2312"/>
                <w:kern w:val="0"/>
                <w:szCs w:val="21"/>
              </w:rPr>
              <w:t>等于第三项加第四项之和）</w:t>
            </w:r>
          </w:p>
        </w:tc>
        <w:tc>
          <w:tcPr>
            <w:tcW w:w="4448" w:type="dxa"/>
            <w:gridSpan w:val="10"/>
            <w:shd w:val="clear" w:color="auto" w:fill="auto"/>
            <w:tcMar>
              <w:left w:w="108" w:type="dxa"/>
              <w:right w:w="108" w:type="dxa"/>
            </w:tcMar>
            <w:vAlign w:val="center"/>
          </w:tcPr>
          <w:p>
            <w:pPr>
              <w:widowControl/>
              <w:spacing w:line="320" w:lineRule="exact"/>
              <w:jc w:val="center"/>
              <w:rPr>
                <w:rFonts w:ascii="黑体" w:hAnsi="黑体" w:eastAsia="黑体"/>
                <w:szCs w:val="21"/>
              </w:rPr>
            </w:pPr>
            <w:r>
              <w:rPr>
                <w:rFonts w:hint="eastAsia" w:ascii="黑体" w:hAnsi="黑体" w:eastAsia="黑体"/>
                <w:kern w:val="0"/>
                <w:szCs w:val="21"/>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25" w:hRule="atLeast"/>
          <w:jc w:val="center"/>
        </w:trPr>
        <w:tc>
          <w:tcPr>
            <w:tcW w:w="5093" w:type="dxa"/>
            <w:gridSpan w:val="3"/>
            <w:vMerge w:val="continue"/>
            <w:shd w:val="clear" w:color="auto" w:fill="auto"/>
            <w:tcMar>
              <w:left w:w="108" w:type="dxa"/>
              <w:right w:w="108" w:type="dxa"/>
            </w:tcMar>
            <w:vAlign w:val="center"/>
          </w:tcPr>
          <w:p>
            <w:pPr>
              <w:jc w:val="center"/>
              <w:rPr>
                <w:rFonts w:ascii="仿宋_GB2312" w:hAnsi="Times New Roman" w:eastAsia="仿宋_GB2312"/>
                <w:szCs w:val="21"/>
              </w:rPr>
            </w:pPr>
          </w:p>
        </w:tc>
        <w:tc>
          <w:tcPr>
            <w:tcW w:w="747" w:type="dxa"/>
            <w:vMerge w:val="restart"/>
            <w:shd w:val="clear" w:color="auto" w:fill="auto"/>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自然人</w:t>
            </w:r>
          </w:p>
        </w:tc>
        <w:tc>
          <w:tcPr>
            <w:tcW w:w="3000" w:type="dxa"/>
            <w:gridSpan w:val="7"/>
            <w:shd w:val="clear" w:color="auto" w:fill="auto"/>
            <w:tcMar>
              <w:left w:w="108" w:type="dxa"/>
              <w:right w:w="108" w:type="dxa"/>
            </w:tcMar>
            <w:vAlign w:val="center"/>
          </w:tcPr>
          <w:p>
            <w:pPr>
              <w:widowControl/>
              <w:spacing w:line="320" w:lineRule="exact"/>
              <w:jc w:val="center"/>
              <w:rPr>
                <w:rFonts w:ascii="黑体" w:hAnsi="黑体" w:eastAsia="黑体"/>
                <w:szCs w:val="21"/>
              </w:rPr>
            </w:pPr>
            <w:r>
              <w:rPr>
                <w:rFonts w:hint="eastAsia" w:ascii="黑体" w:hAnsi="黑体" w:eastAsia="黑体"/>
                <w:kern w:val="0"/>
                <w:szCs w:val="21"/>
              </w:rPr>
              <w:t>法人或其他组织</w:t>
            </w:r>
          </w:p>
        </w:tc>
        <w:tc>
          <w:tcPr>
            <w:tcW w:w="701" w:type="dxa"/>
            <w:gridSpan w:val="2"/>
            <w:vMerge w:val="restart"/>
            <w:shd w:val="clear" w:color="auto" w:fill="auto"/>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93" w:type="dxa"/>
            <w:gridSpan w:val="3"/>
            <w:vMerge w:val="continue"/>
            <w:shd w:val="clear" w:color="auto" w:fill="auto"/>
            <w:tcMar>
              <w:left w:w="108" w:type="dxa"/>
              <w:right w:w="108" w:type="dxa"/>
            </w:tcMar>
            <w:vAlign w:val="center"/>
          </w:tcPr>
          <w:p>
            <w:pPr>
              <w:jc w:val="center"/>
              <w:rPr>
                <w:rFonts w:ascii="仿宋_GB2312" w:hAnsi="Times New Roman" w:eastAsia="仿宋_GB2312"/>
                <w:szCs w:val="21"/>
              </w:rPr>
            </w:pPr>
          </w:p>
        </w:tc>
        <w:tc>
          <w:tcPr>
            <w:tcW w:w="747" w:type="dxa"/>
            <w:vMerge w:val="continue"/>
            <w:shd w:val="clear" w:color="auto" w:fill="auto"/>
            <w:tcMar>
              <w:left w:w="108" w:type="dxa"/>
              <w:right w:w="108" w:type="dxa"/>
            </w:tcMar>
            <w:vAlign w:val="center"/>
          </w:tcPr>
          <w:p>
            <w:pPr>
              <w:jc w:val="center"/>
              <w:rPr>
                <w:rFonts w:ascii="黑体" w:hAnsi="黑体" w:eastAsia="黑体"/>
                <w:szCs w:val="21"/>
              </w:rPr>
            </w:pPr>
          </w:p>
        </w:tc>
        <w:tc>
          <w:tcPr>
            <w:tcW w:w="540" w:type="dxa"/>
            <w:gridSpan w:val="2"/>
            <w:shd w:val="clear" w:color="auto" w:fill="auto"/>
            <w:tcMar>
              <w:left w:w="108" w:type="dxa"/>
              <w:right w:w="108" w:type="dxa"/>
            </w:tcMar>
            <w:vAlign w:val="center"/>
          </w:tcPr>
          <w:p>
            <w:pPr>
              <w:widowControl/>
              <w:spacing w:line="320" w:lineRule="exact"/>
              <w:ind w:left="-106" w:leftChars="-51" w:right="-107" w:rightChars="-51" w:hanging="1"/>
              <w:jc w:val="center"/>
              <w:rPr>
                <w:rFonts w:ascii="黑体" w:hAnsi="黑体" w:eastAsia="黑体"/>
                <w:szCs w:val="21"/>
              </w:rPr>
            </w:pPr>
            <w:r>
              <w:rPr>
                <w:rFonts w:hint="eastAsia" w:ascii="黑体" w:hAnsi="黑体" w:eastAsia="黑体"/>
                <w:kern w:val="0"/>
                <w:szCs w:val="21"/>
              </w:rPr>
              <w:t>商业企业</w:t>
            </w:r>
          </w:p>
        </w:tc>
        <w:tc>
          <w:tcPr>
            <w:tcW w:w="540" w:type="dxa"/>
            <w:gridSpan w:val="2"/>
            <w:shd w:val="clear" w:color="auto" w:fill="auto"/>
            <w:tcMar>
              <w:left w:w="108" w:type="dxa"/>
              <w:right w:w="108" w:type="dxa"/>
            </w:tcMar>
            <w:vAlign w:val="center"/>
          </w:tcPr>
          <w:p>
            <w:pPr>
              <w:widowControl/>
              <w:spacing w:line="320" w:lineRule="exact"/>
              <w:ind w:left="-107" w:leftChars="-51" w:right="-107" w:rightChars="-51"/>
              <w:jc w:val="center"/>
              <w:rPr>
                <w:rFonts w:ascii="黑体" w:hAnsi="黑体" w:eastAsia="黑体"/>
                <w:szCs w:val="21"/>
              </w:rPr>
            </w:pPr>
            <w:r>
              <w:rPr>
                <w:rFonts w:hint="eastAsia" w:ascii="黑体" w:hAnsi="黑体" w:eastAsia="黑体"/>
                <w:kern w:val="0"/>
                <w:szCs w:val="21"/>
              </w:rPr>
              <w:t>科研机构</w:t>
            </w:r>
          </w:p>
        </w:tc>
        <w:tc>
          <w:tcPr>
            <w:tcW w:w="720" w:type="dxa"/>
            <w:shd w:val="clear" w:color="auto" w:fill="auto"/>
            <w:tcMar>
              <w:left w:w="108" w:type="dxa"/>
              <w:right w:w="108" w:type="dxa"/>
            </w:tcMar>
            <w:vAlign w:val="center"/>
          </w:tcPr>
          <w:p>
            <w:pPr>
              <w:widowControl/>
              <w:spacing w:line="320" w:lineRule="exact"/>
              <w:ind w:left="-107" w:leftChars="-51" w:right="-107" w:rightChars="-51"/>
              <w:jc w:val="center"/>
              <w:rPr>
                <w:rFonts w:ascii="黑体" w:hAnsi="黑体" w:eastAsia="黑体"/>
                <w:szCs w:val="21"/>
              </w:rPr>
            </w:pPr>
            <w:r>
              <w:rPr>
                <w:rFonts w:hint="eastAsia" w:ascii="黑体" w:hAnsi="黑体" w:eastAsia="黑体"/>
                <w:kern w:val="0"/>
                <w:szCs w:val="21"/>
              </w:rPr>
              <w:t>社会公益组织</w:t>
            </w:r>
          </w:p>
        </w:tc>
        <w:tc>
          <w:tcPr>
            <w:tcW w:w="675" w:type="dxa"/>
            <w:shd w:val="clear" w:color="auto" w:fill="auto"/>
            <w:tcMar>
              <w:left w:w="108" w:type="dxa"/>
              <w:right w:w="108" w:type="dxa"/>
            </w:tcMar>
            <w:vAlign w:val="center"/>
          </w:tcPr>
          <w:p>
            <w:pPr>
              <w:widowControl/>
              <w:spacing w:line="320" w:lineRule="exact"/>
              <w:ind w:left="-106" w:leftChars="-51" w:right="-107" w:rightChars="-51" w:hanging="1"/>
              <w:jc w:val="center"/>
              <w:rPr>
                <w:rFonts w:ascii="黑体" w:hAnsi="黑体" w:eastAsia="黑体"/>
                <w:szCs w:val="21"/>
              </w:rPr>
            </w:pPr>
            <w:r>
              <w:rPr>
                <w:rFonts w:hint="eastAsia" w:ascii="黑体" w:hAnsi="黑体" w:eastAsia="黑体"/>
                <w:kern w:val="0"/>
                <w:szCs w:val="21"/>
              </w:rPr>
              <w:t>法律服务机构</w:t>
            </w:r>
          </w:p>
        </w:tc>
        <w:tc>
          <w:tcPr>
            <w:tcW w:w="525" w:type="dxa"/>
            <w:shd w:val="clear" w:color="auto" w:fill="auto"/>
            <w:tcMar>
              <w:left w:w="108" w:type="dxa"/>
              <w:right w:w="108" w:type="dxa"/>
            </w:tcMar>
            <w:vAlign w:val="center"/>
          </w:tcPr>
          <w:p>
            <w:pPr>
              <w:widowControl/>
              <w:spacing w:line="360" w:lineRule="exact"/>
              <w:ind w:left="-63" w:leftChars="-30" w:right="-134" w:rightChars="-64"/>
              <w:jc w:val="center"/>
              <w:rPr>
                <w:rFonts w:ascii="黑体" w:hAnsi="黑体" w:eastAsia="黑体"/>
                <w:szCs w:val="21"/>
              </w:rPr>
            </w:pPr>
            <w:r>
              <w:rPr>
                <w:rFonts w:hint="eastAsia" w:ascii="黑体" w:hAnsi="黑体" w:eastAsia="黑体"/>
                <w:kern w:val="0"/>
                <w:szCs w:val="21"/>
              </w:rPr>
              <w:t>其他</w:t>
            </w:r>
          </w:p>
        </w:tc>
        <w:tc>
          <w:tcPr>
            <w:tcW w:w="701" w:type="dxa"/>
            <w:gridSpan w:val="2"/>
            <w:vMerge w:val="continue"/>
            <w:shd w:val="clear" w:color="auto" w:fill="auto"/>
            <w:tcMar>
              <w:left w:w="108" w:type="dxa"/>
              <w:right w:w="108" w:type="dxa"/>
            </w:tcMar>
            <w:vAlign w:val="center"/>
          </w:tcPr>
          <w:p>
            <w:pPr>
              <w:jc w:val="center"/>
              <w:rPr>
                <w:rFonts w:ascii="仿宋_GB2312" w:hAnsi="Times New Roman"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20" w:hRule="atLeast"/>
          <w:jc w:val="center"/>
        </w:trPr>
        <w:tc>
          <w:tcPr>
            <w:tcW w:w="5093" w:type="dxa"/>
            <w:gridSpan w:val="3"/>
            <w:shd w:val="clear" w:color="auto" w:fill="auto"/>
            <w:tcMar>
              <w:left w:w="108" w:type="dxa"/>
              <w:right w:w="108" w:type="dxa"/>
            </w:tcMar>
            <w:vAlign w:val="center"/>
          </w:tcPr>
          <w:p>
            <w:pPr>
              <w:widowControl/>
              <w:rPr>
                <w:rFonts w:ascii="黑体" w:hAnsi="黑体" w:eastAsia="黑体"/>
                <w:color w:val="auto"/>
                <w:szCs w:val="21"/>
              </w:rPr>
            </w:pPr>
            <w:r>
              <w:rPr>
                <w:rFonts w:hint="eastAsia" w:ascii="黑体" w:hAnsi="黑体" w:eastAsia="黑体"/>
                <w:color w:val="auto"/>
                <w:kern w:val="0"/>
                <w:szCs w:val="21"/>
              </w:rPr>
              <w:t>一、</w:t>
            </w:r>
            <w:bookmarkStart w:id="0" w:name="_Hlk66973412"/>
            <w:r>
              <w:rPr>
                <w:rFonts w:hint="eastAsia" w:ascii="黑体" w:hAnsi="黑体" w:eastAsia="黑体"/>
                <w:color w:val="auto"/>
                <w:kern w:val="0"/>
                <w:szCs w:val="21"/>
              </w:rPr>
              <w:t>本年新收政府信息公开申请数量</w:t>
            </w:r>
            <w:bookmarkEnd w:id="0"/>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3</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rPr>
                <w:rFonts w:ascii="黑体" w:hAnsi="黑体" w:eastAsia="黑体"/>
                <w:color w:val="auto"/>
                <w:szCs w:val="21"/>
              </w:rPr>
            </w:pPr>
            <w:r>
              <w:rPr>
                <w:rFonts w:hint="eastAsia" w:ascii="黑体" w:hAnsi="黑体" w:eastAsia="黑体"/>
                <w:color w:val="auto"/>
                <w:kern w:val="0"/>
                <w:szCs w:val="21"/>
              </w:rPr>
              <w:t>二、上年结转政府信息公开申请数量</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restart"/>
            <w:shd w:val="clear" w:color="auto" w:fill="auto"/>
            <w:tcMar>
              <w:left w:w="108" w:type="dxa"/>
              <w:right w:w="108" w:type="dxa"/>
            </w:tcMar>
            <w:vAlign w:val="center"/>
          </w:tcPr>
          <w:p>
            <w:pPr>
              <w:widowControl/>
              <w:spacing w:after="180"/>
              <w:rPr>
                <w:rFonts w:ascii="黑体" w:hAnsi="黑体" w:eastAsia="黑体"/>
                <w:color w:val="auto"/>
                <w:szCs w:val="21"/>
              </w:rPr>
            </w:pPr>
            <w:r>
              <w:rPr>
                <w:rFonts w:hint="eastAsia" w:ascii="黑体" w:hAnsi="黑体" w:eastAsia="黑体"/>
                <w:color w:val="auto"/>
                <w:kern w:val="0"/>
                <w:szCs w:val="21"/>
              </w:rPr>
              <w:t>三、本年度办理结果</w:t>
            </w:r>
          </w:p>
        </w:tc>
        <w:tc>
          <w:tcPr>
            <w:tcW w:w="4677" w:type="dxa"/>
            <w:gridSpan w:val="2"/>
            <w:shd w:val="clear" w:color="auto" w:fill="auto"/>
            <w:tcMar>
              <w:left w:w="108" w:type="dxa"/>
              <w:right w:w="108" w:type="dxa"/>
            </w:tcMar>
            <w:vAlign w:val="center"/>
          </w:tcPr>
          <w:p>
            <w:pPr>
              <w:widowControl/>
              <w:rPr>
                <w:rFonts w:ascii="黑体" w:hAnsi="黑体" w:eastAsia="黑体"/>
                <w:color w:val="auto"/>
                <w:szCs w:val="21"/>
              </w:rPr>
            </w:pPr>
            <w:r>
              <w:rPr>
                <w:rFonts w:hint="eastAsia" w:ascii="黑体" w:hAnsi="黑体" w:eastAsia="黑体"/>
                <w:color w:val="auto"/>
                <w:kern w:val="0"/>
                <w:szCs w:val="21"/>
              </w:rPr>
              <w:t>（一）予以公开</w:t>
            </w:r>
          </w:p>
        </w:tc>
        <w:tc>
          <w:tcPr>
            <w:tcW w:w="752"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2</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3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26"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4677" w:type="dxa"/>
            <w:gridSpan w:val="2"/>
            <w:shd w:val="clear" w:color="auto" w:fill="auto"/>
            <w:tcMar>
              <w:left w:w="108" w:type="dxa"/>
              <w:right w:w="108" w:type="dxa"/>
            </w:tcMar>
            <w:vAlign w:val="center"/>
          </w:tcPr>
          <w:p>
            <w:pPr>
              <w:widowControl/>
              <w:rPr>
                <w:rFonts w:ascii="黑体" w:hAnsi="黑体" w:eastAsia="黑体"/>
                <w:color w:val="auto"/>
                <w:szCs w:val="21"/>
              </w:rPr>
            </w:pPr>
            <w:r>
              <w:rPr>
                <w:rFonts w:hint="eastAsia" w:ascii="黑体" w:hAnsi="黑体" w:eastAsia="黑体"/>
                <w:color w:val="auto"/>
                <w:kern w:val="0"/>
                <w:szCs w:val="21"/>
              </w:rPr>
              <w:t>（二）部分公开（</w:t>
            </w:r>
            <w:bookmarkStart w:id="1" w:name="_Hlk66973981"/>
            <w:r>
              <w:rPr>
                <w:rFonts w:hint="eastAsia" w:ascii="黑体" w:hAnsi="黑体" w:eastAsia="黑体"/>
                <w:color w:val="auto"/>
                <w:kern w:val="0"/>
                <w:szCs w:val="21"/>
              </w:rPr>
              <w:t>区分处理的，只计这一情形，不计其他情形</w:t>
            </w:r>
            <w:bookmarkEnd w:id="1"/>
            <w:r>
              <w:rPr>
                <w:rFonts w:hint="eastAsia" w:ascii="黑体" w:hAnsi="黑体" w:eastAsia="黑体"/>
                <w:color w:val="auto"/>
                <w:kern w:val="0"/>
                <w:szCs w:val="21"/>
              </w:rPr>
              <w:t>）</w:t>
            </w:r>
          </w:p>
        </w:tc>
        <w:tc>
          <w:tcPr>
            <w:tcW w:w="752"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3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26"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ascii="黑体" w:hAnsi="黑体" w:eastAsia="黑体"/>
                <w:szCs w:val="21"/>
              </w:rPr>
            </w:pPr>
            <w:r>
              <w:rPr>
                <w:rFonts w:hint="eastAsia" w:ascii="黑体" w:hAnsi="黑体" w:eastAsia="黑体"/>
                <w:kern w:val="0"/>
                <w:szCs w:val="21"/>
              </w:rPr>
              <w:t>（三）不予公开</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1.属于国家秘密</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w:t>
            </w:r>
            <w:bookmarkStart w:id="2" w:name="_Hlk66974104"/>
            <w:r>
              <w:rPr>
                <w:rFonts w:hint="eastAsia" w:ascii="仿宋_GB2312" w:hAnsi="黑体" w:eastAsia="仿宋_GB2312"/>
                <w:kern w:val="0"/>
                <w:szCs w:val="21"/>
              </w:rPr>
              <w:t>其他法律行政法规禁止公开</w:t>
            </w:r>
            <w:bookmarkEnd w:id="2"/>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3.危及“三安全一稳定”</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4.</w:t>
            </w:r>
            <w:bookmarkStart w:id="3" w:name="_Hlk66974290"/>
            <w:r>
              <w:rPr>
                <w:rFonts w:hint="eastAsia" w:ascii="仿宋_GB2312" w:hAnsi="黑体" w:eastAsia="仿宋_GB2312"/>
                <w:kern w:val="0"/>
                <w:szCs w:val="21"/>
              </w:rPr>
              <w:t>保护第三方合法权益</w:t>
            </w:r>
            <w:bookmarkEnd w:id="3"/>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5.属于三类内部事务信息</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6.</w:t>
            </w:r>
            <w:bookmarkStart w:id="4" w:name="_Hlk66974555"/>
            <w:r>
              <w:rPr>
                <w:rFonts w:hint="eastAsia" w:ascii="仿宋_GB2312" w:hAnsi="黑体" w:eastAsia="仿宋_GB2312"/>
                <w:kern w:val="0"/>
                <w:szCs w:val="21"/>
              </w:rPr>
              <w:t>属于四类过程性信息</w:t>
            </w:r>
            <w:bookmarkEnd w:id="4"/>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7.属于行政执法案卷</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8.</w:t>
            </w:r>
            <w:bookmarkStart w:id="5" w:name="_Hlk66975211"/>
            <w:r>
              <w:rPr>
                <w:rFonts w:hint="eastAsia" w:ascii="仿宋_GB2312" w:hAnsi="黑体" w:eastAsia="仿宋_GB2312"/>
                <w:kern w:val="0"/>
                <w:szCs w:val="21"/>
              </w:rPr>
              <w:t>属于行政查询事项</w:t>
            </w:r>
            <w:bookmarkEnd w:id="5"/>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ascii="黑体" w:hAnsi="黑体" w:eastAsia="黑体"/>
                <w:szCs w:val="21"/>
              </w:rPr>
            </w:pPr>
            <w:r>
              <w:rPr>
                <w:rFonts w:hint="eastAsia" w:ascii="黑体" w:hAnsi="黑体" w:eastAsia="黑体"/>
                <w:kern w:val="0"/>
                <w:szCs w:val="21"/>
              </w:rPr>
              <w:t>（四）无法提供</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1.本机关不掌握相关政府信息</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1</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ind w:left="-107" w:leftChars="-51"/>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w:t>
            </w:r>
            <w:bookmarkStart w:id="6" w:name="_Hlk66975392"/>
            <w:r>
              <w:rPr>
                <w:rFonts w:hint="eastAsia" w:ascii="仿宋_GB2312" w:hAnsi="黑体" w:eastAsia="仿宋_GB2312"/>
                <w:kern w:val="0"/>
                <w:szCs w:val="21"/>
              </w:rPr>
              <w:t>没有现成信息需要另行制作</w:t>
            </w:r>
            <w:bookmarkEnd w:id="6"/>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ind w:left="-107" w:leftChars="-51"/>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3.</w:t>
            </w:r>
            <w:bookmarkStart w:id="7" w:name="_Hlk66975466"/>
            <w:r>
              <w:rPr>
                <w:rFonts w:hint="eastAsia" w:ascii="仿宋_GB2312" w:hAnsi="黑体" w:eastAsia="仿宋_GB2312"/>
                <w:kern w:val="0"/>
                <w:szCs w:val="21"/>
              </w:rPr>
              <w:t>补正后申请内容仍不明确</w:t>
            </w:r>
            <w:bookmarkEnd w:id="7"/>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ascii="黑体" w:hAnsi="黑体" w:eastAsia="黑体"/>
                <w:szCs w:val="21"/>
              </w:rPr>
            </w:pPr>
            <w:r>
              <w:rPr>
                <w:rFonts w:hint="eastAsia" w:ascii="黑体" w:hAnsi="黑体" w:eastAsia="黑体"/>
                <w:kern w:val="0"/>
                <w:szCs w:val="21"/>
              </w:rPr>
              <w:t>（五）不予处理</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w:t>
            </w:r>
            <w:bookmarkStart w:id="8" w:name="_Hlk66975537"/>
            <w:r>
              <w:rPr>
                <w:rFonts w:hint="eastAsia" w:ascii="仿宋_GB2312" w:hAnsi="黑体" w:eastAsia="仿宋_GB2312"/>
                <w:kern w:val="0"/>
                <w:szCs w:val="21"/>
              </w:rPr>
              <w:t>信访举报投诉类申请</w:t>
            </w:r>
            <w:bookmarkEnd w:id="8"/>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2.重复申请</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szCs w:val="21"/>
              </w:rPr>
            </w:pPr>
            <w:r>
              <w:rPr>
                <w:rFonts w:hint="eastAsia" w:ascii="仿宋_GB2312" w:hAnsi="黑体" w:eastAsia="仿宋_GB2312"/>
                <w:kern w:val="0"/>
                <w:szCs w:val="21"/>
              </w:rPr>
              <w:t>3.要求提供公开出版物</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szCs w:val="21"/>
              </w:rPr>
            </w:pPr>
            <w:r>
              <w:rPr>
                <w:rFonts w:hint="eastAsia" w:ascii="仿宋_GB2312" w:hAnsi="黑体" w:eastAsia="仿宋_GB2312"/>
                <w:kern w:val="0"/>
                <w:szCs w:val="21"/>
              </w:rPr>
              <w:t>4.无正当理由大量反复申请</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300" w:lineRule="exact"/>
              <w:rPr>
                <w:rFonts w:ascii="仿宋_GB2312" w:hAnsi="黑体" w:eastAsia="仿宋_GB2312"/>
                <w:kern w:val="0"/>
                <w:szCs w:val="21"/>
              </w:rPr>
            </w:pPr>
            <w:r>
              <w:rPr>
                <w:rFonts w:hint="eastAsia" w:ascii="仿宋_GB2312" w:hAnsi="黑体" w:eastAsia="仿宋_GB2312"/>
                <w:kern w:val="0"/>
                <w:szCs w:val="21"/>
              </w:rPr>
              <w:t>5.要求行政机关确认或重新</w:t>
            </w:r>
          </w:p>
          <w:p>
            <w:pPr>
              <w:widowControl/>
              <w:spacing w:line="300" w:lineRule="exact"/>
              <w:ind w:firstLine="210" w:firstLineChars="100"/>
              <w:rPr>
                <w:rFonts w:ascii="仿宋_GB2312" w:hAnsi="黑体" w:eastAsia="仿宋_GB2312"/>
                <w:szCs w:val="21"/>
              </w:rPr>
            </w:pPr>
            <w:r>
              <w:rPr>
                <w:rFonts w:hint="eastAsia" w:ascii="仿宋_GB2312" w:hAnsi="黑体" w:eastAsia="仿宋_GB2312"/>
                <w:kern w:val="0"/>
                <w:szCs w:val="21"/>
              </w:rPr>
              <w:t>出具已获取信息</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（六）其他处理</w:t>
            </w:r>
          </w:p>
        </w:tc>
        <w:tc>
          <w:tcPr>
            <w:tcW w:w="2976" w:type="dxa"/>
            <w:shd w:val="clear" w:color="auto" w:fill="auto"/>
            <w:vAlign w:val="center"/>
          </w:tcPr>
          <w:p>
            <w:pPr>
              <w:widowControl/>
              <w:spacing w:line="300" w:lineRule="exact"/>
              <w:rPr>
                <w:rFonts w:ascii="仿宋_GB2312" w:hAnsi="楷体" w:eastAsia="仿宋_GB2312"/>
              </w:rPr>
            </w:pPr>
            <w:r>
              <w:rPr>
                <w:rFonts w:hint="eastAsia" w:ascii="仿宋_GB2312" w:hAnsi="楷体" w:eastAsia="仿宋_GB2312"/>
              </w:rPr>
              <w:t>1.申请人无正当理由逾期不补正、行政机关不再处理其政府信息公开申请</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widowControl/>
              <w:spacing w:line="300" w:lineRule="exact"/>
              <w:rPr>
                <w:rFonts w:ascii="黑体" w:hAnsi="黑体" w:eastAsia="黑体"/>
                <w:kern w:val="0"/>
                <w:szCs w:val="21"/>
              </w:rPr>
            </w:pPr>
          </w:p>
        </w:tc>
        <w:tc>
          <w:tcPr>
            <w:tcW w:w="2976" w:type="dxa"/>
            <w:shd w:val="clear" w:color="auto" w:fill="auto"/>
            <w:vAlign w:val="center"/>
          </w:tcPr>
          <w:p>
            <w:pPr>
              <w:widowControl/>
              <w:spacing w:line="300" w:lineRule="exact"/>
              <w:rPr>
                <w:rFonts w:ascii="仿宋_GB2312" w:hAnsi="黑体" w:eastAsia="仿宋_GB2312"/>
                <w:kern w:val="0"/>
                <w:szCs w:val="21"/>
              </w:rPr>
            </w:pPr>
            <w:r>
              <w:rPr>
                <w:rFonts w:hint="eastAsia" w:ascii="仿宋_GB2312" w:hAnsi="楷体" w:eastAsia="仿宋_GB2312"/>
              </w:rPr>
              <w:t>2.申请人逾期未按收费通知要求缴纳费用、行政机关不再处理其政府信息公开申请</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widowControl/>
              <w:spacing w:line="300" w:lineRule="exact"/>
              <w:rPr>
                <w:rFonts w:ascii="黑体" w:hAnsi="黑体" w:eastAsia="黑体"/>
                <w:kern w:val="0"/>
                <w:szCs w:val="21"/>
              </w:rPr>
            </w:pPr>
          </w:p>
        </w:tc>
        <w:tc>
          <w:tcPr>
            <w:tcW w:w="2976" w:type="dxa"/>
            <w:shd w:val="clear" w:color="auto" w:fill="auto"/>
            <w:vAlign w:val="center"/>
          </w:tcPr>
          <w:p>
            <w:pPr>
              <w:widowControl/>
              <w:spacing w:line="300" w:lineRule="exact"/>
              <w:rPr>
                <w:rFonts w:ascii="仿宋_GB2312" w:hAnsi="黑体" w:eastAsia="仿宋_GB2312"/>
                <w:kern w:val="0"/>
                <w:szCs w:val="21"/>
              </w:rPr>
            </w:pPr>
            <w:r>
              <w:rPr>
                <w:rFonts w:hint="eastAsia" w:ascii="仿宋_GB2312" w:hAnsi="楷体" w:eastAsia="仿宋_GB2312"/>
              </w:rPr>
              <w:t>3.其他</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lang w:val="en-US"/>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4677" w:type="dxa"/>
            <w:gridSpan w:val="2"/>
            <w:shd w:val="clear" w:color="auto" w:fill="auto"/>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（七）总计</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3</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lang w:val="en-US"/>
              </w:rPr>
            </w:pPr>
            <w:r>
              <w:rPr>
                <w:rFonts w:hint="eastAsia" w:ascii="仿宋_GB2312" w:hAnsi="Times New Roman" w:eastAsia="仿宋_GB2312"/>
                <w:color w:val="auto"/>
                <w:szCs w:val="21"/>
                <w:lang w:val="en-US" w:eastAsia="zh-CN"/>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93" w:type="dxa"/>
            <w:gridSpan w:val="3"/>
            <w:shd w:val="clear" w:color="auto" w:fill="auto"/>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四、结转下年度继续办理</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lang w:val="en-US"/>
              </w:rPr>
            </w:pPr>
            <w:r>
              <w:rPr>
                <w:rFonts w:hint="eastAsia" w:ascii="仿宋_GB2312" w:hAnsi="Times New Roman" w:eastAsia="仿宋_GB2312"/>
                <w:color w:val="auto"/>
                <w:szCs w:val="21"/>
                <w:lang w:val="en-US" w:eastAsia="zh-CN"/>
              </w:rPr>
              <w:t>0</w:t>
            </w:r>
          </w:p>
        </w:tc>
      </w:tr>
    </w:tbl>
    <w:p>
      <w:pPr>
        <w:widowControl/>
        <w:jc w:val="left"/>
        <w:rPr>
          <w:rFonts w:hint="eastAsia" w:ascii="仿宋_GB2312" w:hAnsi="Calibri" w:eastAsia="仿宋_GB2312" w:cs="Calibri"/>
          <w:color w:val="FF0000"/>
          <w:kern w:val="0"/>
          <w:szCs w:val="21"/>
          <w:lang w:val="en-US" w:eastAsia="zh-CN"/>
        </w:rPr>
      </w:pPr>
    </w:p>
    <w:p>
      <w:pPr>
        <w:rPr>
          <w:rFonts w:ascii="仿宋_GB2312" w:eastAsia="仿宋_GB2312"/>
          <w:sz w:val="32"/>
          <w:szCs w:val="32"/>
        </w:rPr>
      </w:pPr>
      <w:r>
        <w:rPr>
          <w:rFonts w:hint="eastAsia" w:ascii="黑体" w:hAnsi="黑体" w:eastAsia="黑体" w:cs="黑体"/>
          <w:b w:val="0"/>
          <w:bCs/>
          <w:i w:val="0"/>
          <w:caps w:val="0"/>
          <w:color w:val="333333"/>
          <w:spacing w:val="0"/>
          <w:kern w:val="0"/>
          <w:sz w:val="32"/>
          <w:szCs w:val="32"/>
          <w:shd w:val="clear" w:fill="FFFFFF"/>
          <w:lang w:val="en-US" w:eastAsia="zh-CN" w:bidi="ar"/>
        </w:rPr>
        <w:t>四、政府信息公开行政复议、行政诉讼情况</w:t>
      </w:r>
    </w:p>
    <w:tbl>
      <w:tblPr>
        <w:tblStyle w:val="6"/>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ind w:left="-149" w:leftChars="-71" w:right="-170" w:rightChars="-81"/>
              <w:jc w:val="center"/>
              <w:rPr>
                <w:rFonts w:ascii="黑体" w:hAnsi="黑体" w:eastAsia="黑体"/>
                <w:kern w:val="0"/>
                <w:sz w:val="20"/>
                <w:szCs w:val="20"/>
              </w:rPr>
            </w:pPr>
            <w:r>
              <w:rPr>
                <w:rFonts w:ascii="黑体" w:hAnsi="黑体" w:eastAsia="黑体"/>
                <w:kern w:val="0"/>
                <w:sz w:val="20"/>
                <w:szCs w:val="20"/>
              </w:rPr>
              <w:t>结果</w:t>
            </w:r>
          </w:p>
          <w:p>
            <w:pPr>
              <w:widowControl/>
              <w:ind w:left="-149" w:leftChars="-71" w:right="-170" w:rightChars="-81"/>
              <w:jc w:val="center"/>
              <w:rPr>
                <w:rFonts w:ascii="黑体" w:hAnsi="黑体" w:eastAsia="黑体"/>
              </w:rPr>
            </w:pPr>
            <w:r>
              <w:rPr>
                <w:rFonts w:ascii="黑体" w:hAnsi="黑体" w:eastAsia="黑体"/>
                <w:kern w:val="0"/>
                <w:sz w:val="20"/>
                <w:szCs w:val="20"/>
              </w:rPr>
              <w:t>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43" w:leftChars="-21" w:right="-132" w:rightChars="-63" w:hanging="1"/>
              <w:jc w:val="center"/>
              <w:rPr>
                <w:rFonts w:ascii="黑体" w:hAnsi="黑体" w:eastAsia="黑体"/>
              </w:rPr>
            </w:pPr>
            <w:r>
              <w:rPr>
                <w:rFonts w:ascii="黑体" w:hAnsi="黑体" w:eastAsia="黑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82" w:leftChars="-39" w:right="-97" w:rightChars="-46"/>
              <w:jc w:val="center"/>
              <w:rPr>
                <w:rFonts w:ascii="黑体" w:hAnsi="黑体" w:eastAsia="黑体"/>
              </w:rPr>
            </w:pPr>
            <w:r>
              <w:rPr>
                <w:rFonts w:ascii="黑体" w:hAnsi="黑体" w:eastAsia="黑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18" w:leftChars="-56" w:right="-118" w:rightChars="-56"/>
              <w:jc w:val="center"/>
              <w:rPr>
                <w:rFonts w:ascii="黑体" w:hAnsi="黑体" w:eastAsia="黑体"/>
                <w:kern w:val="0"/>
                <w:sz w:val="20"/>
                <w:szCs w:val="20"/>
              </w:rPr>
            </w:pPr>
            <w:r>
              <w:rPr>
                <w:rFonts w:ascii="黑体" w:hAnsi="黑体" w:eastAsia="黑体"/>
                <w:kern w:val="0"/>
                <w:sz w:val="20"/>
                <w:szCs w:val="20"/>
              </w:rPr>
              <w:t>尚未</w:t>
            </w:r>
          </w:p>
          <w:p>
            <w:pPr>
              <w:widowControl/>
              <w:ind w:left="-118" w:leftChars="-56" w:right="-118" w:rightChars="-56"/>
              <w:jc w:val="center"/>
              <w:rPr>
                <w:rFonts w:ascii="黑体" w:hAnsi="黑体" w:eastAsia="黑体"/>
              </w:rPr>
            </w:pPr>
            <w:r>
              <w:rPr>
                <w:rFonts w:ascii="黑体" w:hAnsi="黑体" w:eastAsia="黑体"/>
                <w:kern w:val="0"/>
                <w:sz w:val="20"/>
                <w:szCs w:val="20"/>
              </w:rPr>
              <w:t>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20" w:lineRule="exact"/>
              <w:jc w:val="center"/>
              <w:rPr>
                <w:rFonts w:ascii="黑体" w:hAnsi="黑体" w:eastAsia="黑体"/>
                <w:kern w:val="0"/>
                <w:sz w:val="20"/>
                <w:szCs w:val="20"/>
              </w:rPr>
            </w:pPr>
            <w:r>
              <w:rPr>
                <w:rFonts w:ascii="黑体" w:hAnsi="黑体" w:eastAsia="黑体"/>
                <w:kern w:val="0"/>
                <w:sz w:val="20"/>
                <w:szCs w:val="20"/>
              </w:rPr>
              <w:t>总</w:t>
            </w:r>
          </w:p>
          <w:p>
            <w:pPr>
              <w:widowControl/>
              <w:spacing w:line="320" w:lineRule="exact"/>
              <w:jc w:val="center"/>
              <w:rPr>
                <w:rFonts w:ascii="黑体" w:hAnsi="黑体" w:eastAsia="黑体"/>
              </w:rPr>
            </w:pPr>
            <w:r>
              <w:rPr>
                <w:rFonts w:ascii="黑体" w:hAnsi="黑体" w:eastAsia="黑体"/>
                <w:kern w:val="0"/>
                <w:sz w:val="20"/>
                <w:szCs w:val="20"/>
              </w:rPr>
              <w:t>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bookmarkStart w:id="9" w:name="_Hlk67039688"/>
            <w:r>
              <w:rPr>
                <w:rFonts w:ascii="黑体" w:hAnsi="黑体" w:eastAsia="黑体"/>
                <w:kern w:val="0"/>
                <w:sz w:val="20"/>
                <w:szCs w:val="20"/>
              </w:rPr>
              <w:t>复议后起诉</w:t>
            </w:r>
            <w:bookmarkEnd w:id="9"/>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105" w:leftChars="-50" w:right="-126" w:rightChars="-60"/>
              <w:jc w:val="center"/>
              <w:rPr>
                <w:rFonts w:ascii="黑体" w:hAnsi="黑体" w:eastAsia="黑体"/>
              </w:rPr>
            </w:pPr>
            <w:r>
              <w:rPr>
                <w:rFonts w:ascii="黑体" w:hAnsi="黑体" w:eastAsia="黑体"/>
                <w:kern w:val="0"/>
                <w:sz w:val="20"/>
                <w:szCs w:val="20"/>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86" w:leftChars="-41" w:right="-88" w:rightChars="-42"/>
              <w:jc w:val="center"/>
              <w:rPr>
                <w:rFonts w:ascii="黑体" w:hAnsi="黑体" w:eastAsia="黑体"/>
              </w:rPr>
            </w:pPr>
            <w:r>
              <w:rPr>
                <w:rFonts w:ascii="黑体" w:hAnsi="黑体" w:eastAsia="黑体"/>
                <w:kern w:val="0"/>
                <w:sz w:val="20"/>
                <w:szCs w:val="20"/>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26" w:leftChars="-60" w:right="-136" w:rightChars="-65"/>
              <w:jc w:val="center"/>
              <w:rPr>
                <w:rFonts w:ascii="黑体" w:hAnsi="黑体" w:eastAsia="黑体"/>
                <w:kern w:val="0"/>
                <w:sz w:val="20"/>
                <w:szCs w:val="20"/>
              </w:rPr>
            </w:pPr>
            <w:r>
              <w:rPr>
                <w:rFonts w:ascii="黑体" w:hAnsi="黑体" w:eastAsia="黑体"/>
                <w:kern w:val="0"/>
                <w:sz w:val="20"/>
                <w:szCs w:val="20"/>
              </w:rPr>
              <w:t>其他</w:t>
            </w:r>
          </w:p>
          <w:p>
            <w:pPr>
              <w:widowControl/>
              <w:ind w:left="-126" w:leftChars="-60" w:right="-136" w:rightChars="-65"/>
              <w:jc w:val="center"/>
              <w:rPr>
                <w:rFonts w:ascii="黑体" w:hAnsi="黑体" w:eastAsia="黑体"/>
              </w:rPr>
            </w:pPr>
            <w:r>
              <w:rPr>
                <w:rFonts w:ascii="黑体" w:hAnsi="黑体" w:eastAsia="黑体"/>
                <w:kern w:val="0"/>
                <w:sz w:val="20"/>
                <w:szCs w:val="20"/>
              </w:rPr>
              <w:t>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64" w:leftChars="-78" w:right="-153" w:rightChars="-73"/>
              <w:jc w:val="center"/>
              <w:rPr>
                <w:rFonts w:ascii="黑体" w:hAnsi="黑体" w:eastAsia="黑体"/>
                <w:kern w:val="0"/>
                <w:sz w:val="20"/>
                <w:szCs w:val="20"/>
              </w:rPr>
            </w:pPr>
            <w:r>
              <w:rPr>
                <w:rFonts w:ascii="黑体" w:hAnsi="黑体" w:eastAsia="黑体"/>
                <w:kern w:val="0"/>
                <w:sz w:val="20"/>
                <w:szCs w:val="20"/>
              </w:rPr>
              <w:t>尚未</w:t>
            </w:r>
          </w:p>
          <w:p>
            <w:pPr>
              <w:widowControl/>
              <w:ind w:left="-164" w:leftChars="-78" w:right="-153" w:rightChars="-73"/>
              <w:jc w:val="center"/>
              <w:rPr>
                <w:rFonts w:ascii="黑体" w:hAnsi="黑体" w:eastAsia="黑体"/>
              </w:rPr>
            </w:pPr>
            <w:r>
              <w:rPr>
                <w:rFonts w:ascii="黑体" w:hAnsi="黑体" w:eastAsia="黑体"/>
                <w:kern w:val="0"/>
                <w:sz w:val="20"/>
                <w:szCs w:val="20"/>
              </w:rPr>
              <w:t>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99" w:leftChars="-47" w:right="-78" w:rightChars="-37"/>
              <w:jc w:val="center"/>
              <w:rPr>
                <w:rFonts w:ascii="黑体" w:hAnsi="黑体" w:eastAsia="黑体"/>
              </w:rPr>
            </w:pPr>
            <w:r>
              <w:rPr>
                <w:rFonts w:ascii="黑体" w:hAnsi="黑体" w:eastAsia="黑体"/>
                <w:kern w:val="0"/>
                <w:sz w:val="20"/>
                <w:szCs w:val="20"/>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36" w:leftChars="-65" w:right="-124" w:rightChars="-59"/>
              <w:jc w:val="center"/>
              <w:rPr>
                <w:rFonts w:ascii="黑体" w:hAnsi="黑体" w:eastAsia="黑体"/>
                <w:kern w:val="0"/>
                <w:sz w:val="20"/>
                <w:szCs w:val="20"/>
              </w:rPr>
            </w:pPr>
            <w:r>
              <w:rPr>
                <w:rFonts w:ascii="黑体" w:hAnsi="黑体" w:eastAsia="黑体"/>
                <w:kern w:val="0"/>
                <w:sz w:val="20"/>
                <w:szCs w:val="20"/>
              </w:rPr>
              <w:t>结果</w:t>
            </w:r>
          </w:p>
          <w:p>
            <w:pPr>
              <w:widowControl/>
              <w:ind w:left="-136" w:leftChars="-65" w:right="-124" w:rightChars="-59"/>
              <w:jc w:val="center"/>
              <w:rPr>
                <w:rFonts w:ascii="黑体" w:hAnsi="黑体" w:eastAsia="黑体"/>
              </w:rPr>
            </w:pPr>
            <w:r>
              <w:rPr>
                <w:rFonts w:ascii="黑体" w:hAnsi="黑体" w:eastAsia="黑体"/>
                <w:kern w:val="0"/>
                <w:sz w:val="20"/>
                <w:szCs w:val="20"/>
              </w:rPr>
              <w:t>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73" w:leftChars="-83" w:right="-134" w:rightChars="-64" w:hanging="1"/>
              <w:jc w:val="center"/>
              <w:rPr>
                <w:rFonts w:ascii="黑体" w:hAnsi="黑体" w:eastAsia="黑体"/>
                <w:kern w:val="0"/>
                <w:sz w:val="20"/>
                <w:szCs w:val="20"/>
              </w:rPr>
            </w:pPr>
            <w:r>
              <w:rPr>
                <w:rFonts w:ascii="黑体" w:hAnsi="黑体" w:eastAsia="黑体"/>
                <w:kern w:val="0"/>
                <w:sz w:val="20"/>
                <w:szCs w:val="20"/>
              </w:rPr>
              <w:t>其他</w:t>
            </w:r>
          </w:p>
          <w:p>
            <w:pPr>
              <w:widowControl/>
              <w:ind w:left="-173" w:leftChars="-83" w:right="-134" w:rightChars="-64" w:hanging="1"/>
              <w:jc w:val="center"/>
              <w:rPr>
                <w:rFonts w:ascii="黑体" w:hAnsi="黑体" w:eastAsia="黑体"/>
              </w:rPr>
            </w:pPr>
            <w:r>
              <w:rPr>
                <w:rFonts w:ascii="黑体" w:hAnsi="黑体" w:eastAsia="黑体"/>
                <w:kern w:val="0"/>
                <w:sz w:val="20"/>
                <w:szCs w:val="20"/>
              </w:rPr>
              <w:t>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67" w:leftChars="-33" w:right="-105" w:rightChars="-50" w:hanging="2" w:hangingChars="1"/>
              <w:jc w:val="center"/>
              <w:rPr>
                <w:rFonts w:ascii="黑体" w:hAnsi="黑体" w:eastAsia="黑体"/>
              </w:rPr>
            </w:pPr>
            <w:r>
              <w:rPr>
                <w:rFonts w:ascii="黑体" w:hAnsi="黑体" w:eastAsia="黑体"/>
                <w:kern w:val="0"/>
                <w:sz w:val="20"/>
                <w:szCs w:val="20"/>
              </w:rPr>
              <w:t>尚未审结</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r>
    </w:tbl>
    <w:p>
      <w:pPr>
        <w:widowControl/>
        <w:jc w:val="left"/>
        <w:rPr>
          <w:rFonts w:hint="eastAsia" w:ascii="仿宋_GB2312" w:hAnsi="Calibri" w:eastAsia="仿宋_GB2312" w:cs="Calibri"/>
          <w:color w:val="FF0000"/>
          <w:kern w:val="0"/>
          <w:szCs w:val="21"/>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黑体" w:hAnsi="黑体" w:eastAsia="黑体" w:cs="黑体"/>
          <w:b w:val="0"/>
          <w:bCs/>
          <w:i w:val="0"/>
          <w:caps w:val="0"/>
          <w:color w:val="auto"/>
          <w:spacing w:val="0"/>
          <w:kern w:val="0"/>
          <w:sz w:val="32"/>
          <w:szCs w:val="32"/>
          <w:shd w:val="clear" w:fill="FFFFFF"/>
          <w:lang w:val="en-US" w:eastAsia="zh-CN" w:bidi="ar"/>
        </w:rPr>
      </w:pPr>
      <w:r>
        <w:rPr>
          <w:rFonts w:hint="eastAsia" w:ascii="黑体" w:hAnsi="黑体" w:eastAsia="黑体" w:cs="黑体"/>
          <w:b w:val="0"/>
          <w:bCs/>
          <w:i w:val="0"/>
          <w:caps w:val="0"/>
          <w:color w:val="auto"/>
          <w:spacing w:val="0"/>
          <w:kern w:val="0"/>
          <w:sz w:val="32"/>
          <w:szCs w:val="32"/>
          <w:shd w:val="clear" w:fill="FFFFFF"/>
          <w:lang w:val="en-US" w:eastAsia="zh-CN" w:bidi="ar"/>
        </w:rPr>
        <w:t>五、存在的主要问题及改进情况</w:t>
      </w:r>
    </w:p>
    <w:p>
      <w:pPr>
        <w:keepNext w:val="0"/>
        <w:keepLines w:val="0"/>
        <w:pageBreakBefore w:val="0"/>
        <w:widowControl w:val="0"/>
        <w:kinsoku/>
        <w:wordWrap/>
        <w:overflowPunct/>
        <w:topLinePunct w:val="0"/>
        <w:autoSpaceDE/>
        <w:autoSpaceDN/>
        <w:bidi w:val="0"/>
        <w:adjustRightInd/>
        <w:snapToGrid/>
        <w:spacing w:line="580" w:lineRule="exact"/>
        <w:ind w:right="0" w:firstLine="707" w:firstLineChars="221"/>
        <w:textAlignment w:val="auto"/>
        <w:rPr>
          <w:rFonts w:hint="eastAsia" w:ascii="仿宋_GB2312" w:eastAsia="仿宋_GB2312"/>
          <w:color w:val="auto"/>
          <w:sz w:val="32"/>
          <w:szCs w:val="32"/>
          <w:lang w:eastAsia="zh-CN"/>
        </w:rPr>
      </w:pPr>
      <w:r>
        <w:rPr>
          <w:rFonts w:hint="default" w:ascii="Times New Roman" w:hAnsi="Times New Roman" w:eastAsia="仿宋_GB2312" w:cs="Times New Roman"/>
          <w:color w:val="auto"/>
          <w:sz w:val="32"/>
          <w:szCs w:val="32"/>
          <w:lang w:val="en-US" w:eastAsia="zh-CN"/>
        </w:rPr>
        <w:t>2022</w:t>
      </w:r>
      <w:r>
        <w:rPr>
          <w:rFonts w:hint="eastAsia" w:ascii="仿宋_GB2312" w:eastAsia="仿宋_GB2312"/>
          <w:color w:val="auto"/>
          <w:sz w:val="32"/>
          <w:szCs w:val="32"/>
          <w:lang w:val="en-US" w:eastAsia="zh-CN"/>
        </w:rPr>
        <w:t>年，市科技局在政务公开工作上采取了许多有利措施，取得了一定成效，但也存在一定的问题和不足：</w:t>
      </w:r>
      <w:r>
        <w:rPr>
          <w:rFonts w:hint="eastAsia" w:ascii="仿宋_GB2312" w:hAnsi="仿宋_GB2312" w:eastAsia="仿宋_GB2312" w:cs="仿宋_GB2312"/>
          <w:color w:val="auto"/>
          <w:sz w:val="32"/>
          <w:szCs w:val="32"/>
          <w:highlight w:val="none"/>
          <w:lang w:val="en-US" w:eastAsia="zh-CN"/>
        </w:rPr>
        <w:t>一是</w:t>
      </w:r>
      <w:r>
        <w:rPr>
          <w:rFonts w:hint="eastAsia" w:ascii="仿宋_GB2312" w:hAnsi="仿宋_GB2312" w:eastAsia="仿宋_GB2312" w:cs="仿宋_GB2312"/>
          <w:color w:val="auto"/>
          <w:sz w:val="32"/>
          <w:szCs w:val="32"/>
          <w:highlight w:val="none"/>
          <w:lang w:eastAsia="zh-CN"/>
        </w:rPr>
        <w:t>部分动态要闻类栏目更新不及时，</w:t>
      </w:r>
      <w:r>
        <w:rPr>
          <w:rFonts w:hint="eastAsia" w:ascii="仿宋_GB2312" w:eastAsia="仿宋_GB2312"/>
          <w:color w:val="auto"/>
          <w:sz w:val="32"/>
          <w:szCs w:val="32"/>
          <w:highlight w:val="none"/>
          <w:lang w:eastAsia="zh-CN"/>
        </w:rPr>
        <w:t>更新频率有待进一步提高，</w:t>
      </w:r>
      <w:r>
        <w:rPr>
          <w:rFonts w:hint="eastAsia" w:ascii="仿宋_GB2312" w:hAnsi="仿宋_GB2312" w:eastAsia="仿宋_GB2312" w:cs="仿宋_GB2312"/>
          <w:color w:val="auto"/>
          <w:sz w:val="32"/>
          <w:szCs w:val="32"/>
          <w:highlight w:val="none"/>
          <w:lang w:eastAsia="zh-CN"/>
        </w:rPr>
        <w:t>对部分法定主动公开内容</w:t>
      </w:r>
      <w:r>
        <w:rPr>
          <w:rFonts w:hint="eastAsia" w:ascii="仿宋_GB2312" w:eastAsia="仿宋_GB2312"/>
          <w:color w:val="auto"/>
          <w:sz w:val="32"/>
          <w:szCs w:val="32"/>
          <w:highlight w:val="none"/>
          <w:lang w:eastAsia="zh-CN"/>
        </w:rPr>
        <w:t>的收集力度不够</w:t>
      </w:r>
      <w:r>
        <w:rPr>
          <w:rFonts w:hint="eastAsia" w:ascii="仿宋_GB2312" w:eastAsia="仿宋_GB2312"/>
          <w:color w:val="auto"/>
          <w:sz w:val="32"/>
          <w:szCs w:val="32"/>
          <w:highlight w:val="none"/>
          <w:lang w:val="en" w:eastAsia="zh-CN"/>
        </w:rPr>
        <w:t>，信息公开内容不够丰富</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lang w:eastAsia="zh-CN"/>
        </w:rPr>
        <w:t>二是政策解读形式较为单一，运用动漫、媒体、专家、图表等多种方式解读的政策较少，解读内容不够丰富。</w:t>
      </w:r>
    </w:p>
    <w:p>
      <w:pPr>
        <w:keepNext w:val="0"/>
        <w:keepLines w:val="0"/>
        <w:pageBreakBefore w:val="0"/>
        <w:widowControl w:val="0"/>
        <w:kinsoku/>
        <w:wordWrap/>
        <w:overflowPunct/>
        <w:topLinePunct w:val="0"/>
        <w:autoSpaceDE/>
        <w:autoSpaceDN/>
        <w:bidi w:val="0"/>
        <w:adjustRightInd/>
        <w:snapToGrid/>
        <w:spacing w:line="580" w:lineRule="exact"/>
        <w:ind w:right="0" w:firstLine="707" w:firstLineChars="221"/>
        <w:textAlignment w:val="auto"/>
        <w:rPr>
          <w:rFonts w:hint="eastAsia" w:ascii="仿宋_GB2312" w:eastAsia="仿宋_GB2312"/>
          <w:color w:val="auto"/>
          <w:sz w:val="32"/>
          <w:szCs w:val="32"/>
        </w:rPr>
      </w:pPr>
      <w:r>
        <w:rPr>
          <w:rFonts w:hint="eastAsia" w:ascii="仿宋_GB2312" w:eastAsia="仿宋_GB2312"/>
          <w:color w:val="auto"/>
          <w:sz w:val="32"/>
          <w:szCs w:val="32"/>
          <w:lang w:eastAsia="zh-CN"/>
        </w:rPr>
        <w:t>针对以上问题，</w:t>
      </w:r>
      <w:r>
        <w:rPr>
          <w:rFonts w:hint="eastAsia" w:ascii="仿宋_GB2312" w:hAnsi="仿宋_GB2312" w:eastAsia="仿宋_GB2312" w:cs="仿宋_GB2312"/>
          <w:color w:val="auto"/>
          <w:sz w:val="32"/>
          <w:szCs w:val="32"/>
          <w:highlight w:val="none"/>
          <w:lang w:val="en-US" w:eastAsia="zh-CN"/>
        </w:rPr>
        <w:t>一是加强与各区县科技部门、各科室及局属单位的协调配合，加强动态要闻、法定主动公开内容的收集力度，进一步</w:t>
      </w:r>
      <w:r>
        <w:rPr>
          <w:rFonts w:hint="eastAsia" w:ascii="仿宋_GB2312" w:eastAsia="仿宋_GB2312"/>
          <w:color w:val="auto"/>
          <w:sz w:val="32"/>
          <w:szCs w:val="32"/>
          <w:highlight w:val="none"/>
        </w:rPr>
        <w:t>增强网站发布信息</w:t>
      </w:r>
      <w:r>
        <w:rPr>
          <w:rFonts w:hint="eastAsia" w:ascii="仿宋_GB2312" w:eastAsia="仿宋_GB2312"/>
          <w:color w:val="auto"/>
          <w:sz w:val="32"/>
          <w:szCs w:val="32"/>
          <w:highlight w:val="none"/>
          <w:lang w:eastAsia="zh-CN"/>
        </w:rPr>
        <w:t>更新频率</w:t>
      </w:r>
      <w:r>
        <w:rPr>
          <w:rFonts w:hint="default" w:ascii="仿宋_GB2312" w:eastAsia="仿宋_GB2312"/>
          <w:color w:val="auto"/>
          <w:sz w:val="32"/>
          <w:szCs w:val="32"/>
          <w:highlight w:val="none"/>
          <w:lang w:val="en" w:eastAsia="zh-CN"/>
        </w:rPr>
        <w:t>，</w:t>
      </w:r>
      <w:r>
        <w:rPr>
          <w:rFonts w:hint="eastAsia" w:ascii="仿宋_GB2312" w:eastAsia="仿宋_GB2312"/>
          <w:color w:val="auto"/>
          <w:sz w:val="32"/>
          <w:szCs w:val="32"/>
          <w:highlight w:val="none"/>
          <w:lang w:eastAsia="zh-CN"/>
        </w:rPr>
        <w:t>提升信息发布质量；</w:t>
      </w:r>
      <w:r>
        <w:rPr>
          <w:rFonts w:hint="eastAsia" w:ascii="仿宋_GB2312" w:eastAsia="仿宋_GB2312"/>
          <w:color w:val="auto"/>
          <w:sz w:val="32"/>
          <w:szCs w:val="32"/>
        </w:rPr>
        <w:t>二是提高政策解读质效</w:t>
      </w:r>
      <w:r>
        <w:rPr>
          <w:rFonts w:hint="eastAsia" w:ascii="仿宋_GB2312" w:eastAsia="仿宋_GB2312"/>
          <w:color w:val="auto"/>
          <w:sz w:val="32"/>
          <w:szCs w:val="32"/>
          <w:lang w:eastAsia="zh-CN"/>
        </w:rPr>
        <w:t>，</w:t>
      </w:r>
      <w:r>
        <w:rPr>
          <w:rFonts w:hint="eastAsia" w:ascii="仿宋_GB2312" w:eastAsia="仿宋_GB2312"/>
          <w:color w:val="auto"/>
          <w:sz w:val="32"/>
          <w:szCs w:val="32"/>
        </w:rPr>
        <w:t>严格按照政策背景、决策依据、出台目的、重要举措等内容要素编写公开政策解读，</w:t>
      </w:r>
      <w:r>
        <w:rPr>
          <w:rFonts w:hint="eastAsia" w:ascii="仿宋_GB2312" w:eastAsia="仿宋_GB2312"/>
          <w:color w:val="auto"/>
          <w:sz w:val="32"/>
          <w:szCs w:val="32"/>
          <w:lang w:eastAsia="zh-CN"/>
        </w:rPr>
        <w:t>综合</w:t>
      </w:r>
      <w:r>
        <w:rPr>
          <w:rFonts w:hint="eastAsia" w:ascii="仿宋_GB2312" w:eastAsia="仿宋_GB2312"/>
          <w:color w:val="auto"/>
          <w:sz w:val="32"/>
          <w:szCs w:val="32"/>
        </w:rPr>
        <w:t>运用动漫解读、图表解读等群众喜闻乐见方式开展解读，全方位、深层次、多角度对同一政策开展解读</w:t>
      </w:r>
      <w:r>
        <w:rPr>
          <w:rFonts w:hint="eastAsia" w:ascii="仿宋_GB2312" w:eastAsia="仿宋_GB2312"/>
          <w:color w:val="auto"/>
          <w:sz w:val="32"/>
          <w:szCs w:val="32"/>
          <w:lang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黑体" w:hAnsi="黑体" w:eastAsia="黑体" w:cs="黑体"/>
          <w:b w:val="0"/>
          <w:bCs/>
          <w:i w:val="0"/>
          <w:caps w:val="0"/>
          <w:color w:val="333333"/>
          <w:spacing w:val="0"/>
          <w:kern w:val="0"/>
          <w:sz w:val="32"/>
          <w:szCs w:val="32"/>
          <w:shd w:val="clear" w:fill="FFFFFF"/>
          <w:lang w:val="en-US" w:eastAsia="zh-CN" w:bidi="ar"/>
        </w:rPr>
      </w:pPr>
      <w:r>
        <w:rPr>
          <w:rFonts w:hint="eastAsia" w:ascii="黑体" w:hAnsi="黑体" w:eastAsia="黑体" w:cs="黑体"/>
          <w:b w:val="0"/>
          <w:bCs/>
          <w:i w:val="0"/>
          <w:caps w:val="0"/>
          <w:color w:val="333333"/>
          <w:spacing w:val="0"/>
          <w:kern w:val="0"/>
          <w:sz w:val="32"/>
          <w:szCs w:val="32"/>
          <w:shd w:val="clear" w:fill="FFFFFF"/>
          <w:lang w:val="en-US" w:eastAsia="zh-CN" w:bidi="ar"/>
        </w:rPr>
        <w:t>六、其他需要报告的事项</w:t>
      </w:r>
    </w:p>
    <w:p>
      <w:pPr>
        <w:keepNext w:val="0"/>
        <w:keepLines w:val="0"/>
        <w:pageBreakBefore w:val="0"/>
        <w:widowControl w:val="0"/>
        <w:kinsoku/>
        <w:wordWrap/>
        <w:overflowPunct/>
        <w:topLinePunct w:val="0"/>
        <w:autoSpaceDE/>
        <w:autoSpaceDN/>
        <w:bidi w:val="0"/>
        <w:adjustRightInd/>
        <w:snapToGrid/>
        <w:spacing w:line="580" w:lineRule="exact"/>
        <w:ind w:right="0" w:firstLine="707" w:firstLineChars="221"/>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1.依申请公开信息处理费收费情况。</w:t>
      </w:r>
    </w:p>
    <w:p>
      <w:pPr>
        <w:keepNext w:val="0"/>
        <w:keepLines w:val="0"/>
        <w:pageBreakBefore w:val="0"/>
        <w:widowControl w:val="0"/>
        <w:kinsoku/>
        <w:wordWrap/>
        <w:overflowPunct/>
        <w:topLinePunct w:val="0"/>
        <w:autoSpaceDE/>
        <w:autoSpaceDN/>
        <w:bidi w:val="0"/>
        <w:adjustRightInd/>
        <w:snapToGrid/>
        <w:spacing w:line="580" w:lineRule="exact"/>
        <w:ind w:right="0" w:firstLine="707" w:firstLineChars="221"/>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依据《政府信息公开信息处理费管理办法》，没有收取信息处理费。</w:t>
      </w:r>
    </w:p>
    <w:p>
      <w:pPr>
        <w:keepNext w:val="0"/>
        <w:keepLines w:val="0"/>
        <w:pageBreakBefore w:val="0"/>
        <w:widowControl w:val="0"/>
        <w:kinsoku/>
        <w:wordWrap/>
        <w:overflowPunct/>
        <w:topLinePunct w:val="0"/>
        <w:autoSpaceDE/>
        <w:autoSpaceDN/>
        <w:bidi w:val="0"/>
        <w:adjustRightInd/>
        <w:snapToGrid/>
        <w:spacing w:line="580" w:lineRule="exact"/>
        <w:ind w:right="0" w:firstLine="707" w:firstLineChars="221"/>
        <w:jc w:val="both"/>
        <w:textAlignment w:val="auto"/>
        <w:rPr>
          <w:rFonts w:hint="eastAsia" w:ascii="仿宋_GB2312" w:hAnsi="仿宋_GB2312" w:eastAsia="仿宋_GB2312" w:cs="仿宋_GB2312"/>
          <w:sz w:val="32"/>
          <w:szCs w:val="32"/>
          <w:lang w:val="en-US" w:eastAsia="zh-CN"/>
        </w:rPr>
      </w:pPr>
      <w:r>
        <w:rPr>
          <w:rFonts w:hint="default" w:ascii="Times New Roman" w:hAnsi="Times New Roman" w:eastAsia="仿宋_GB2312" w:cs="Times New Roman"/>
          <w:sz w:val="32"/>
          <w:szCs w:val="32"/>
          <w:lang w:val="en-US" w:eastAsia="zh-CN"/>
        </w:rPr>
        <w:t>2.</w:t>
      </w:r>
      <w:r>
        <w:rPr>
          <w:rFonts w:hint="eastAsia" w:ascii="仿宋_GB2312" w:hAnsi="仿宋_GB2312" w:eastAsia="仿宋_GB2312" w:cs="仿宋_GB2312"/>
          <w:sz w:val="32"/>
          <w:szCs w:val="32"/>
          <w:lang w:val="en-US" w:eastAsia="zh-CN"/>
        </w:rPr>
        <w:t>本年度建议提案办理情况。</w:t>
      </w:r>
    </w:p>
    <w:p>
      <w:pPr>
        <w:keepNext w:val="0"/>
        <w:keepLines w:val="0"/>
        <w:pageBreakBefore w:val="0"/>
        <w:widowControl w:val="0"/>
        <w:kinsoku/>
        <w:wordWrap/>
        <w:overflowPunct/>
        <w:topLinePunct w:val="0"/>
        <w:autoSpaceDE/>
        <w:autoSpaceDN/>
        <w:bidi w:val="0"/>
        <w:adjustRightInd/>
        <w:snapToGrid/>
        <w:spacing w:line="580" w:lineRule="exact"/>
        <w:ind w:right="0" w:firstLine="707" w:firstLineChars="221"/>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2022年交办市科技局人大建议、政协提案共18件</w:t>
      </w:r>
      <w:r>
        <w:rPr>
          <w:rFonts w:hint="default" w:ascii="Times New Roman" w:hAnsi="Times New Roman" w:eastAsia="仿宋_GB2312" w:cs="Times New Roman"/>
          <w:sz w:val="32"/>
          <w:szCs w:val="32"/>
          <w:lang w:val="en" w:eastAsia="zh-CN"/>
        </w:rPr>
        <w:t>，</w:t>
      </w:r>
      <w:r>
        <w:rPr>
          <w:rFonts w:hint="default" w:ascii="Times New Roman" w:hAnsi="Times New Roman" w:eastAsia="仿宋_GB2312" w:cs="Times New Roman"/>
          <w:sz w:val="32"/>
          <w:szCs w:val="32"/>
          <w:lang w:val="en-US" w:eastAsia="zh-CN"/>
        </w:rPr>
        <w:t>其中</w:t>
      </w:r>
      <w:r>
        <w:rPr>
          <w:rFonts w:hint="default" w:ascii="Times New Roman" w:hAnsi="Times New Roman" w:eastAsia="仿宋_GB2312" w:cs="Times New Roman"/>
          <w:sz w:val="32"/>
          <w:szCs w:val="32"/>
          <w:lang w:val="en" w:eastAsia="zh-CN"/>
        </w:rPr>
        <w:t>，</w:t>
      </w:r>
      <w:r>
        <w:rPr>
          <w:rFonts w:hint="default" w:ascii="Times New Roman" w:hAnsi="Times New Roman" w:eastAsia="仿宋_GB2312" w:cs="Times New Roman"/>
          <w:sz w:val="32"/>
          <w:szCs w:val="32"/>
          <w:lang w:val="en-US" w:eastAsia="zh-CN"/>
        </w:rPr>
        <w:t>人大建议2件（分办1件</w:t>
      </w:r>
      <w:r>
        <w:rPr>
          <w:rFonts w:hint="default" w:ascii="Times New Roman" w:hAnsi="Times New Roman" w:eastAsia="仿宋_GB2312" w:cs="Times New Roman"/>
          <w:sz w:val="32"/>
          <w:szCs w:val="32"/>
          <w:lang w:val="en" w:eastAsia="zh-CN"/>
        </w:rPr>
        <w:t>，</w:t>
      </w:r>
      <w:r>
        <w:rPr>
          <w:rFonts w:hint="default" w:ascii="Times New Roman" w:hAnsi="Times New Roman" w:eastAsia="仿宋_GB2312" w:cs="Times New Roman"/>
          <w:sz w:val="32"/>
          <w:szCs w:val="32"/>
          <w:lang w:val="en-US" w:eastAsia="zh-CN"/>
        </w:rPr>
        <w:t>协办1件）</w:t>
      </w:r>
      <w:r>
        <w:rPr>
          <w:rFonts w:hint="default" w:ascii="Times New Roman" w:hAnsi="Times New Roman" w:eastAsia="仿宋_GB2312" w:cs="Times New Roman"/>
          <w:sz w:val="32"/>
          <w:szCs w:val="32"/>
          <w:lang w:val="en" w:eastAsia="zh-CN"/>
        </w:rPr>
        <w:t>，</w:t>
      </w:r>
      <w:r>
        <w:rPr>
          <w:rFonts w:hint="default" w:ascii="Times New Roman" w:hAnsi="Times New Roman" w:eastAsia="仿宋_GB2312" w:cs="Times New Roman"/>
          <w:sz w:val="32"/>
          <w:szCs w:val="32"/>
          <w:lang w:val="en-US" w:eastAsia="zh-CN"/>
        </w:rPr>
        <w:t>政协提案16件（主办6件</w:t>
      </w:r>
      <w:r>
        <w:rPr>
          <w:rFonts w:hint="default" w:ascii="Times New Roman" w:hAnsi="Times New Roman" w:eastAsia="仿宋_GB2312" w:cs="Times New Roman"/>
          <w:sz w:val="32"/>
          <w:szCs w:val="32"/>
          <w:lang w:val="en" w:eastAsia="zh-CN"/>
        </w:rPr>
        <w:t>，</w:t>
      </w:r>
      <w:r>
        <w:rPr>
          <w:rFonts w:hint="default" w:ascii="Times New Roman" w:hAnsi="Times New Roman" w:eastAsia="仿宋_GB2312" w:cs="Times New Roman"/>
          <w:sz w:val="32"/>
          <w:szCs w:val="32"/>
          <w:lang w:val="en-US" w:eastAsia="zh-CN"/>
        </w:rPr>
        <w:t>会办8件</w:t>
      </w:r>
      <w:r>
        <w:rPr>
          <w:rFonts w:hint="default" w:ascii="Times New Roman" w:hAnsi="Times New Roman" w:eastAsia="仿宋_GB2312" w:cs="Times New Roman"/>
          <w:sz w:val="32"/>
          <w:szCs w:val="32"/>
          <w:lang w:val="en" w:eastAsia="zh-CN"/>
        </w:rPr>
        <w:t>，</w:t>
      </w:r>
      <w:r>
        <w:rPr>
          <w:rFonts w:hint="default" w:ascii="Times New Roman" w:hAnsi="Times New Roman" w:eastAsia="仿宋_GB2312" w:cs="Times New Roman"/>
          <w:sz w:val="32"/>
          <w:szCs w:val="32"/>
          <w:lang w:val="en-US" w:eastAsia="zh-CN"/>
        </w:rPr>
        <w:t>分办2件）。市科技局严格按照《淄博市人民政府办公室关于做好2022年度政府系统建议提案办理工作的通知》相关要求</w:t>
      </w:r>
      <w:r>
        <w:rPr>
          <w:rFonts w:hint="default" w:ascii="Times New Roman" w:hAnsi="Times New Roman" w:eastAsia="仿宋_GB2312" w:cs="Times New Roman"/>
          <w:sz w:val="32"/>
          <w:szCs w:val="32"/>
          <w:lang w:val="en" w:eastAsia="zh-CN"/>
        </w:rPr>
        <w:t>，</w:t>
      </w:r>
      <w:r>
        <w:rPr>
          <w:rFonts w:hint="default" w:ascii="Times New Roman" w:hAnsi="Times New Roman" w:eastAsia="仿宋_GB2312" w:cs="Times New Roman"/>
          <w:sz w:val="32"/>
          <w:szCs w:val="32"/>
          <w:lang w:val="en-US" w:eastAsia="zh-CN"/>
        </w:rPr>
        <w:t>结合全市科技工作实际</w:t>
      </w:r>
      <w:r>
        <w:rPr>
          <w:rFonts w:hint="default" w:ascii="Times New Roman" w:hAnsi="Times New Roman" w:eastAsia="仿宋_GB2312" w:cs="Times New Roman"/>
          <w:sz w:val="32"/>
          <w:szCs w:val="32"/>
          <w:lang w:val="en" w:eastAsia="zh-CN"/>
        </w:rPr>
        <w:t>，</w:t>
      </w:r>
      <w:r>
        <w:rPr>
          <w:rFonts w:hint="default" w:ascii="Times New Roman" w:hAnsi="Times New Roman" w:eastAsia="仿宋_GB2312" w:cs="Times New Roman"/>
          <w:sz w:val="32"/>
          <w:szCs w:val="32"/>
          <w:lang w:val="en-US" w:eastAsia="zh-CN"/>
        </w:rPr>
        <w:t>认真答复了各位代表和委员</w:t>
      </w:r>
      <w:r>
        <w:rPr>
          <w:rFonts w:hint="default" w:ascii="Times New Roman" w:hAnsi="Times New Roman" w:eastAsia="仿宋_GB2312" w:cs="Times New Roman"/>
          <w:sz w:val="32"/>
          <w:szCs w:val="32"/>
          <w:lang w:val="en" w:eastAsia="zh-CN"/>
        </w:rPr>
        <w:t>，</w:t>
      </w:r>
      <w:r>
        <w:rPr>
          <w:rFonts w:hint="default" w:ascii="Times New Roman" w:hAnsi="Times New Roman" w:eastAsia="仿宋_GB2312" w:cs="Times New Roman"/>
          <w:sz w:val="32"/>
          <w:szCs w:val="32"/>
          <w:lang w:val="en-US" w:eastAsia="zh-CN"/>
        </w:rPr>
        <w:t>并按照规定要求进行了公开。</w:t>
      </w:r>
    </w:p>
    <w:p>
      <w:pPr>
        <w:keepNext w:val="0"/>
        <w:keepLines w:val="0"/>
        <w:pageBreakBefore w:val="0"/>
        <w:widowControl w:val="0"/>
        <w:kinsoku/>
        <w:wordWrap/>
        <w:overflowPunct/>
        <w:topLinePunct w:val="0"/>
        <w:autoSpaceDE/>
        <w:autoSpaceDN/>
        <w:bidi w:val="0"/>
        <w:adjustRightInd/>
        <w:snapToGrid/>
        <w:spacing w:line="580" w:lineRule="exact"/>
        <w:ind w:right="0" w:firstLine="707" w:firstLineChars="221"/>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3.在政务公开制度、内容、形式和平台建设方面的创新实践情况。</w:t>
      </w:r>
    </w:p>
    <w:p>
      <w:pPr>
        <w:keepNext w:val="0"/>
        <w:keepLines w:val="0"/>
        <w:pageBreakBefore w:val="0"/>
        <w:widowControl w:val="0"/>
        <w:kinsoku/>
        <w:wordWrap/>
        <w:overflowPunct/>
        <w:topLinePunct w:val="0"/>
        <w:autoSpaceDE/>
        <w:autoSpaceDN/>
        <w:bidi w:val="0"/>
        <w:adjustRightInd/>
        <w:snapToGrid/>
        <w:spacing w:line="580" w:lineRule="exact"/>
        <w:ind w:right="0" w:firstLine="707" w:firstLineChars="221"/>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一是</w:t>
      </w:r>
      <w:r>
        <w:rPr>
          <w:rFonts w:hint="default" w:ascii="Times New Roman" w:hAnsi="Times New Roman" w:eastAsia="仿宋_GB2312" w:cs="Times New Roman"/>
          <w:sz w:val="32"/>
          <w:szCs w:val="32"/>
          <w:lang w:val="en-US" w:eastAsia="zh-CN"/>
        </w:rPr>
        <w:t>创新政务公开工作方式，举办线上政策解读培训会推进科技型企业培育工作</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市科技局联合齐鲁股权交易中心共同举办了</w:t>
      </w:r>
      <w:r>
        <w:rPr>
          <w:rFonts w:hint="eastAsia" w:ascii="仿宋_GB2312" w:hAnsi="仿宋_GB2312" w:eastAsia="仿宋_GB2312" w:cs="仿宋_GB2312"/>
          <w:sz w:val="32"/>
          <w:szCs w:val="32"/>
          <w:lang w:val="en-US" w:eastAsia="zh-CN"/>
        </w:rPr>
        <w:t>“抗疫助企，政策速递”</w:t>
      </w:r>
      <w:r>
        <w:rPr>
          <w:rFonts w:hint="default" w:ascii="Times New Roman" w:hAnsi="Times New Roman" w:eastAsia="仿宋_GB2312" w:cs="Times New Roman"/>
          <w:sz w:val="32"/>
          <w:szCs w:val="32"/>
          <w:lang w:val="en-US" w:eastAsia="zh-CN"/>
        </w:rPr>
        <w:t>线上政策解读培训会，广泛宣传、积极发动，420余家企业参加培训，参会人员达到1400余人。采用直播、在线答疑、回放结合方式，包含了高新技术企业认定、科技惠企政策解读、税务稽查风险应对三项主题，全方位详解了各项惠企政策，确保在疫情防控期间，惠企政策宣传不间断，科技型企业培育质量不降低，通过科技创新赋能企业高质量发展，推动我市创新型城市建设。</w:t>
      </w:r>
    </w:p>
    <w:p>
      <w:pPr>
        <w:keepNext w:val="0"/>
        <w:keepLines w:val="0"/>
        <w:pageBreakBefore w:val="0"/>
        <w:widowControl w:val="0"/>
        <w:kinsoku/>
        <w:wordWrap/>
        <w:overflowPunct/>
        <w:topLinePunct w:val="0"/>
        <w:autoSpaceDE/>
        <w:autoSpaceDN/>
        <w:bidi w:val="0"/>
        <w:adjustRightInd/>
        <w:snapToGrid/>
        <w:spacing w:line="580" w:lineRule="exact"/>
        <w:ind w:right="0" w:firstLine="707" w:firstLineChars="221"/>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二是创新政务公开方式，采取“走出去”召开对接洽谈会的形式宣传我市科技创新政策，加强市外校城融合产业项目对接洽谈。6月11日，哈工大——淄博市智能装备产业项目对接洽谈会在哈尔滨举行，我市企业携带20余项技术难题和人才需求与学校专家进行了充分对接。通过参观和对接洽谈，使科技系统的负责同志和企业家们进一步开阔了眼界、增长了知识、拓宽了思路、增强了创新意识，同时加深了淄博市与哈尔滨工业大学之间的沟通联系，为深化科教创新赋能、推动校城融合发展助力加码。</w:t>
      </w:r>
    </w:p>
    <w:p>
      <w:pPr>
        <w:keepNext w:val="0"/>
        <w:keepLines w:val="0"/>
        <w:pageBreakBefore w:val="0"/>
        <w:widowControl w:val="0"/>
        <w:kinsoku/>
        <w:wordWrap/>
        <w:overflowPunct/>
        <w:topLinePunct w:val="0"/>
        <w:autoSpaceDE/>
        <w:autoSpaceDN/>
        <w:bidi w:val="0"/>
        <w:adjustRightInd/>
        <w:snapToGrid/>
        <w:spacing w:line="580" w:lineRule="exact"/>
        <w:ind w:right="0" w:firstLine="707" w:firstLineChars="221"/>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4.《2022年淄博市政务公开工作方案》落实情况。</w:t>
      </w:r>
    </w:p>
    <w:p>
      <w:pPr>
        <w:keepNext w:val="0"/>
        <w:keepLines w:val="0"/>
        <w:pageBreakBefore w:val="0"/>
        <w:widowControl w:val="0"/>
        <w:kinsoku/>
        <w:wordWrap/>
        <w:overflowPunct/>
        <w:topLinePunct w:val="0"/>
        <w:autoSpaceDE/>
        <w:autoSpaceDN/>
        <w:bidi w:val="0"/>
        <w:adjustRightInd/>
        <w:snapToGrid/>
        <w:spacing w:line="580" w:lineRule="exact"/>
        <w:ind w:right="0" w:firstLine="707" w:firstLineChars="221"/>
        <w:jc w:val="both"/>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sz w:val="32"/>
          <w:szCs w:val="32"/>
          <w:lang w:val="en-US" w:eastAsia="zh-CN"/>
        </w:rPr>
        <w:t>市科</w:t>
      </w:r>
      <w:r>
        <w:rPr>
          <w:rFonts w:hint="eastAsia" w:ascii="Times New Roman" w:hAnsi="Times New Roman" w:eastAsia="仿宋_GB2312" w:cs="Times New Roman"/>
          <w:color w:val="auto"/>
          <w:sz w:val="32"/>
          <w:szCs w:val="32"/>
          <w:lang w:val="en-US" w:eastAsia="zh-CN"/>
        </w:rPr>
        <w:t>技局</w:t>
      </w:r>
      <w:r>
        <w:rPr>
          <w:rFonts w:hint="default" w:ascii="Times New Roman" w:hAnsi="Times New Roman" w:eastAsia="仿宋_GB2312" w:cs="Times New Roman"/>
          <w:color w:val="auto"/>
          <w:sz w:val="32"/>
          <w:szCs w:val="32"/>
          <w:lang w:val="en-US" w:eastAsia="zh-CN"/>
        </w:rPr>
        <w:t>认真落实国家、省、市政务公开年度工作任务，紧扣全市经济社会发展大局，提高政务公开时效，夯实政务公开基础，不断拓宽政务公开渠道，深入开展政策精细化解读，切实提升政务公开标准化规范化水平。</w:t>
      </w:r>
    </w:p>
    <w:p>
      <w:pPr>
        <w:keepNext w:val="0"/>
        <w:keepLines w:val="0"/>
        <w:pageBreakBefore w:val="0"/>
        <w:widowControl w:val="0"/>
        <w:kinsoku/>
        <w:wordWrap/>
        <w:overflowPunct/>
        <w:topLinePunct w:val="0"/>
        <w:autoSpaceDE/>
        <w:autoSpaceDN/>
        <w:bidi w:val="0"/>
        <w:adjustRightInd/>
        <w:snapToGrid/>
        <w:spacing w:line="580" w:lineRule="exact"/>
        <w:ind w:right="0"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一是加强</w:t>
      </w:r>
      <w:r>
        <w:rPr>
          <w:rFonts w:hint="default" w:ascii="Times New Roman" w:hAnsi="Times New Roman" w:eastAsia="仿宋_GB2312" w:cs="Times New Roman"/>
          <w:color w:val="auto"/>
          <w:sz w:val="32"/>
          <w:szCs w:val="32"/>
          <w:lang w:val="en-US" w:eastAsia="zh-CN"/>
        </w:rPr>
        <w:t>协同配合</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各科室强化“管业务就要管公开”的理念，充分发挥职能优势，在部署安排、推动开展业务工作时同时对相关公开事宜提出相关标准并加强落实，做到业务工作推进到哪里，政务公开就跟进到哪里，逐步形成</w:t>
      </w:r>
      <w:r>
        <w:rPr>
          <w:rFonts w:hint="eastAsia" w:ascii="Times New Roman" w:hAnsi="Times New Roman" w:eastAsia="仿宋_GB2312" w:cs="Times New Roman"/>
          <w:color w:val="auto"/>
          <w:sz w:val="32"/>
          <w:szCs w:val="32"/>
          <w:lang w:val="en-US" w:eastAsia="zh-CN"/>
        </w:rPr>
        <w:t>了</w:t>
      </w:r>
      <w:r>
        <w:rPr>
          <w:rFonts w:hint="default" w:ascii="Times New Roman" w:hAnsi="Times New Roman" w:eastAsia="仿宋_GB2312" w:cs="Times New Roman"/>
          <w:color w:val="auto"/>
          <w:sz w:val="32"/>
          <w:szCs w:val="32"/>
          <w:lang w:val="en-US" w:eastAsia="zh-CN"/>
        </w:rPr>
        <w:t>分工明确、责任清晰、相互配合、齐抓共管的政务公开工作体系。</w:t>
      </w:r>
    </w:p>
    <w:p>
      <w:pPr>
        <w:keepNext w:val="0"/>
        <w:keepLines w:val="0"/>
        <w:pageBreakBefore w:val="0"/>
        <w:widowControl w:val="0"/>
        <w:kinsoku/>
        <w:wordWrap/>
        <w:overflowPunct/>
        <w:topLinePunct w:val="0"/>
        <w:autoSpaceDE/>
        <w:autoSpaceDN/>
        <w:bidi w:val="0"/>
        <w:adjustRightInd/>
        <w:snapToGrid/>
        <w:spacing w:line="580" w:lineRule="exact"/>
        <w:ind w:right="0"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二是加强</w:t>
      </w:r>
      <w:r>
        <w:rPr>
          <w:rFonts w:hint="default" w:ascii="Times New Roman" w:hAnsi="Times New Roman" w:eastAsia="仿宋_GB2312" w:cs="Times New Roman"/>
          <w:color w:val="auto"/>
          <w:sz w:val="32"/>
          <w:szCs w:val="32"/>
          <w:lang w:val="en-US" w:eastAsia="zh-CN"/>
        </w:rPr>
        <w:t>对标学习</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主动对标政务公开先进地区和先进单位，采取走出去、请进来、网上学等多种方式，积极借鉴先进地区和单位目录编制、栏目设置、内容维护以及工作推进等方面的经验做法，迅速提升政务公开工作水平，营造</w:t>
      </w:r>
      <w:r>
        <w:rPr>
          <w:rFonts w:hint="eastAsia" w:ascii="仿宋_GB2312" w:hAnsi="仿宋_GB2312" w:eastAsia="仿宋_GB2312" w:cs="仿宋_GB2312"/>
          <w:color w:val="auto"/>
          <w:sz w:val="32"/>
          <w:szCs w:val="32"/>
          <w:lang w:val="en-US" w:eastAsia="zh-CN"/>
        </w:rPr>
        <w:t>“比学赶超、互学互鉴”的浓厚工</w:t>
      </w:r>
      <w:r>
        <w:rPr>
          <w:rFonts w:hint="default" w:ascii="Times New Roman" w:hAnsi="Times New Roman" w:eastAsia="仿宋_GB2312" w:cs="Times New Roman"/>
          <w:color w:val="auto"/>
          <w:sz w:val="32"/>
          <w:szCs w:val="32"/>
          <w:lang w:val="en-US" w:eastAsia="zh-CN"/>
        </w:rPr>
        <w:t>作氛围。</w:t>
      </w:r>
    </w:p>
    <w:p>
      <w:pPr>
        <w:keepNext w:val="0"/>
        <w:keepLines w:val="0"/>
        <w:pageBreakBefore w:val="0"/>
        <w:widowControl w:val="0"/>
        <w:kinsoku/>
        <w:wordWrap/>
        <w:overflowPunct/>
        <w:topLinePunct w:val="0"/>
        <w:autoSpaceDE/>
        <w:autoSpaceDN/>
        <w:bidi w:val="0"/>
        <w:adjustRightInd/>
        <w:snapToGrid/>
        <w:spacing w:line="580" w:lineRule="exact"/>
        <w:ind w:right="0"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三是加强</w:t>
      </w:r>
      <w:r>
        <w:rPr>
          <w:rFonts w:hint="default" w:ascii="Times New Roman" w:hAnsi="Times New Roman" w:eastAsia="仿宋_GB2312" w:cs="Times New Roman"/>
          <w:color w:val="auto"/>
          <w:sz w:val="32"/>
          <w:szCs w:val="32"/>
          <w:lang w:val="en-US" w:eastAsia="zh-CN"/>
        </w:rPr>
        <w:t>工作保障</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政务公开领导小组充分发挥统筹协调作用，及时研究解决政务公开重点难点问题。年内组织</w:t>
      </w:r>
      <w:r>
        <w:rPr>
          <w:rFonts w:hint="eastAsia" w:ascii="Times New Roman" w:hAnsi="Times New Roman" w:eastAsia="仿宋_GB2312" w:cs="Times New Roman"/>
          <w:color w:val="auto"/>
          <w:sz w:val="32"/>
          <w:szCs w:val="32"/>
          <w:lang w:val="en-US" w:eastAsia="zh-CN"/>
        </w:rPr>
        <w:t>开展</w:t>
      </w:r>
      <w:r>
        <w:rPr>
          <w:rFonts w:hint="default" w:ascii="Times New Roman" w:hAnsi="Times New Roman" w:eastAsia="仿宋_GB2312" w:cs="Times New Roman"/>
          <w:color w:val="auto"/>
          <w:sz w:val="32"/>
          <w:szCs w:val="32"/>
          <w:lang w:val="en-US" w:eastAsia="zh-CN"/>
        </w:rPr>
        <w:t>政务公开培训1次</w:t>
      </w:r>
      <w:r>
        <w:rPr>
          <w:rFonts w:hint="eastAsia" w:ascii="Times New Roman" w:hAnsi="Times New Roman" w:eastAsia="仿宋_GB2312" w:cs="Times New Roman"/>
          <w:color w:val="auto"/>
          <w:sz w:val="32"/>
          <w:szCs w:val="32"/>
          <w:lang w:val="en-US" w:eastAsia="zh-CN"/>
        </w:rPr>
        <w:t>，进一步</w:t>
      </w:r>
      <w:r>
        <w:rPr>
          <w:rFonts w:hint="default" w:ascii="Times New Roman" w:hAnsi="Times New Roman" w:eastAsia="仿宋_GB2312" w:cs="Times New Roman"/>
          <w:color w:val="auto"/>
          <w:sz w:val="32"/>
          <w:szCs w:val="32"/>
          <w:lang w:val="en-US" w:eastAsia="zh-CN"/>
        </w:rPr>
        <w:t>提高政务公开工作队伍政治素质和业务素质，确保政策解读、三方评估、专栏建设、依申请公开等工作正常开展。</w:t>
      </w:r>
    </w:p>
    <w:p>
      <w:pPr>
        <w:keepNext w:val="0"/>
        <w:keepLines w:val="0"/>
        <w:pageBreakBefore w:val="0"/>
        <w:widowControl w:val="0"/>
        <w:kinsoku/>
        <w:wordWrap/>
        <w:overflowPunct/>
        <w:topLinePunct w:val="0"/>
        <w:autoSpaceDE/>
        <w:autoSpaceDN/>
        <w:bidi w:val="0"/>
        <w:adjustRightInd/>
        <w:snapToGrid/>
        <w:spacing w:line="580" w:lineRule="exact"/>
        <w:ind w:right="0"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四是加强</w:t>
      </w:r>
      <w:r>
        <w:rPr>
          <w:rFonts w:hint="default" w:ascii="Times New Roman" w:hAnsi="Times New Roman" w:eastAsia="仿宋_GB2312" w:cs="Times New Roman"/>
          <w:color w:val="auto"/>
          <w:sz w:val="32"/>
          <w:szCs w:val="32"/>
          <w:lang w:val="en-US" w:eastAsia="zh-CN"/>
        </w:rPr>
        <w:t>作风改进</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各科室主动指导下级单位对口科室解决政务公开工作中存在的重大疑难问题，围绕群众关心关切的热点难点问题，创新举措，提质增效，确保各项工作平稳有序推进。政务公开领导小组办公室强化工作调度，及时开展督导检查，通报发现问题，督促整改落实。</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decorative"/>
    <w:pitch w:val="default"/>
    <w:sig w:usb0="00000001" w:usb1="080E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AF18C8"/>
    <w:rsid w:val="0D4D54AE"/>
    <w:rsid w:val="0D72249E"/>
    <w:rsid w:val="11AF18C8"/>
    <w:rsid w:val="141D2158"/>
    <w:rsid w:val="14A02B65"/>
    <w:rsid w:val="1A6A77C7"/>
    <w:rsid w:val="1F97332B"/>
    <w:rsid w:val="2F6F1AFF"/>
    <w:rsid w:val="3C7E7E4E"/>
    <w:rsid w:val="4FD7CEA3"/>
    <w:rsid w:val="5FD4B2A0"/>
    <w:rsid w:val="5FFF8AE5"/>
    <w:rsid w:val="640A5F1B"/>
    <w:rsid w:val="645F063B"/>
    <w:rsid w:val="6FAC3CC5"/>
    <w:rsid w:val="74DC48C7"/>
    <w:rsid w:val="77181135"/>
    <w:rsid w:val="7CDDFB11"/>
    <w:rsid w:val="7F7F00C0"/>
    <w:rsid w:val="7FD601A3"/>
    <w:rsid w:val="7FDFBCEC"/>
    <w:rsid w:val="7FFFE6D3"/>
    <w:rsid w:val="9BFA0E74"/>
    <w:rsid w:val="BB3EFE33"/>
    <w:rsid w:val="CDEF9BC4"/>
    <w:rsid w:val="E9F758E6"/>
    <w:rsid w:val="EDD9EA72"/>
    <w:rsid w:val="F0737C9B"/>
    <w:rsid w:val="F9B758A4"/>
    <w:rsid w:val="FDB5CE77"/>
    <w:rsid w:val="FEBFB712"/>
    <w:rsid w:val="FFB6A4CE"/>
    <w:rsid w:val="FFBBC236"/>
    <w:rsid w:val="FFD6FC67"/>
    <w:rsid w:val="FFFB46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Arial" w:hAnsi="Arial"/>
      <w:b/>
      <w:sz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3596</Words>
  <Characters>3729</Characters>
  <Lines>0</Lines>
  <Paragraphs>0</Paragraphs>
  <TotalTime>1</TotalTime>
  <ScaleCrop>false</ScaleCrop>
  <LinksUpToDate>false</LinksUpToDate>
  <CharactersWithSpaces>3729</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2023-01-21T15:45:00Z</dcterms:created>
  <dc:creator>诗人与熊</dc:creator>
  <cp:lastModifiedBy>user</cp:lastModifiedBy>
  <cp:lastPrinted>2023-01-21T17:08:00Z</cp:lastPrinted>
  <dcterms:modified xsi:type="dcterms:W3CDTF">2023-02-09T14:44:13Z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AA997AA0745C4772A4196D817533ED9B</vt:lpwstr>
  </property>
</Properties>
</file>